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04">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05">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06">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07">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08">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09">
      <w:pPr>
        <w:spacing w:line="259" w:lineRule="auto"/>
        <w:jc w:val="center"/>
        <w:rPr>
          <w:rFonts w:ascii="Lato" w:cs="Lato" w:eastAsia="Lato" w:hAnsi="Lato"/>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101600</wp:posOffset>
                </wp:positionV>
                <wp:extent cx="4564380" cy="4817995"/>
                <wp:effectExtent b="0" l="0" r="0" t="0"/>
                <wp:wrapNone/>
                <wp:docPr id="8" name=""/>
                <a:graphic>
                  <a:graphicData uri="http://schemas.microsoft.com/office/word/2010/wordprocessingShape">
                    <wps:wsp>
                      <wps:cNvSpPr/>
                      <wps:cNvPr id="2" name="Shape 2"/>
                      <wps:spPr>
                        <a:xfrm>
                          <a:off x="3140010" y="1452046"/>
                          <a:ext cx="4411980" cy="4655909"/>
                        </a:xfrm>
                        <a:prstGeom prst="rect">
                          <a:avLst/>
                        </a:prstGeom>
                        <a:solidFill>
                          <a:srgbClr val="1B8BA9"/>
                        </a:solidFill>
                        <a:ln>
                          <a:noFill/>
                        </a:ln>
                      </wps:spPr>
                      <wps:txbx>
                        <w:txbxContent>
                          <w:p w:rsidR="00000000" w:rsidDel="00000000" w:rsidP="00000000" w:rsidRDefault="00000000" w:rsidRPr="00000000">
                            <w:pPr>
                              <w:spacing w:after="160" w:before="0" w:line="255"/>
                              <w:ind w:left="0" w:right="0" w:firstLine="0"/>
                              <w:jc w:val="center"/>
                              <w:textDirection w:val="btLr"/>
                            </w:pPr>
                            <w:r w:rsidDel="00000000" w:rsidR="00000000" w:rsidRPr="00000000">
                              <w:rPr>
                                <w:rFonts w:ascii="Lato" w:cs="Lato" w:eastAsia="Lato" w:hAnsi="Lato"/>
                                <w:b w:val="1"/>
                                <w:i w:val="0"/>
                                <w:smallCaps w:val="0"/>
                                <w:strike w:val="0"/>
                                <w:color w:val="ffffff"/>
                                <w:sz w:val="72"/>
                                <w:vertAlign w:val="baseline"/>
                              </w:rPr>
                              <w:t xml:space="preserve">Checklist des éléments clés du protocole à destination des porteurs de projets</w:t>
                            </w:r>
                          </w:p>
                          <w:p w:rsidR="00000000" w:rsidDel="00000000" w:rsidP="00000000" w:rsidRDefault="00000000" w:rsidRPr="00000000">
                            <w:pPr>
                              <w:spacing w:after="160" w:before="0" w:line="255"/>
                              <w:ind w:left="0" w:right="0" w:firstLine="0"/>
                              <w:jc w:val="center"/>
                              <w:textDirection w:val="btLr"/>
                            </w:pPr>
                            <w:r w:rsidDel="00000000" w:rsidR="00000000" w:rsidRPr="00000000">
                              <w:rPr>
                                <w:rFonts w:ascii="Lato" w:cs="Lato" w:eastAsia="Lato" w:hAnsi="Lato"/>
                                <w:b w:val="1"/>
                                <w:i w:val="0"/>
                                <w:smallCaps w:val="0"/>
                                <w:strike w:val="0"/>
                                <w:color w:val="ffffff"/>
                                <w:sz w:val="72"/>
                                <w:vertAlign w:val="baseline"/>
                              </w:rPr>
                            </w:r>
                          </w:p>
                        </w:txbxContent>
                      </wps:txbx>
                      <wps:bodyPr anchorCtr="0" anchor="b"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101600</wp:posOffset>
                </wp:positionV>
                <wp:extent cx="4564380" cy="4817995"/>
                <wp:effectExtent b="0" l="0" r="0" t="0"/>
                <wp:wrapNone/>
                <wp:docPr id="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564380" cy="4817995"/>
                        </a:xfrm>
                        <a:prstGeom prst="rect"/>
                        <a:ln/>
                      </pic:spPr>
                    </pic:pic>
                  </a:graphicData>
                </a:graphic>
              </wp:anchor>
            </w:drawing>
          </mc:Fallback>
        </mc:AlternateContent>
      </w:r>
    </w:p>
    <w:p w:rsidR="00000000" w:rsidDel="00000000" w:rsidP="00000000" w:rsidRDefault="00000000" w:rsidRPr="00000000" w14:paraId="0000000A">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0B">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0C">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0D">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0E">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0F">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10">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11">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12">
      <w:pPr>
        <w:spacing w:line="259"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13">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14">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15">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16">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17">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18">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19">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1A">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1B">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1C">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1D">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1E">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1F">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20">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21">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22">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23">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24">
      <w:pPr>
        <w:spacing w:line="259" w:lineRule="auto"/>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25">
      <w:pPr>
        <w:spacing w:line="259"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26">
      <w:pPr>
        <w:spacing w:line="259"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27">
      <w:pPr>
        <w:spacing w:after="60" w:before="60" w:line="259"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28">
      <w:pPr>
        <w:spacing w:after="60" w:before="60" w:lineRule="auto"/>
        <w:jc w:val="center"/>
        <w:rPr>
          <w:rFonts w:ascii="Lato" w:cs="Lato" w:eastAsia="Lato" w:hAnsi="Lato"/>
          <w:sz w:val="22"/>
          <w:szCs w:val="22"/>
        </w:rPr>
      </w:pPr>
      <w:r w:rsidDel="00000000" w:rsidR="00000000" w:rsidRPr="00000000">
        <w:rPr>
          <w:rFonts w:ascii="Lato" w:cs="Lato" w:eastAsia="Lato" w:hAnsi="Lato"/>
          <w:sz w:val="22"/>
          <w:szCs w:val="22"/>
          <w:rtl w:val="0"/>
        </w:rPr>
        <w:t xml:space="preserve">Groupement d’Intérêt Public</w:t>
      </w:r>
    </w:p>
    <w:p w:rsidR="00000000" w:rsidDel="00000000" w:rsidP="00000000" w:rsidRDefault="00000000" w:rsidRPr="00000000" w14:paraId="00000029">
      <w:pPr>
        <w:spacing w:after="60" w:before="60" w:lineRule="auto"/>
        <w:jc w:val="center"/>
        <w:rPr>
          <w:rFonts w:ascii="Lato" w:cs="Lato" w:eastAsia="Lato" w:hAnsi="Lato"/>
          <w:sz w:val="22"/>
          <w:szCs w:val="22"/>
        </w:rPr>
      </w:pPr>
      <w:r w:rsidDel="00000000" w:rsidR="00000000" w:rsidRPr="00000000">
        <w:rPr>
          <w:rFonts w:ascii="Lato" w:cs="Lato" w:eastAsia="Lato" w:hAnsi="Lato"/>
          <w:sz w:val="22"/>
          <w:szCs w:val="22"/>
          <w:rtl w:val="0"/>
        </w:rPr>
        <w:t xml:space="preserve">« Plateforme des données de Santé »</w:t>
      </w:r>
    </w:p>
    <w:p w:rsidR="00000000" w:rsidDel="00000000" w:rsidP="00000000" w:rsidRDefault="00000000" w:rsidRPr="00000000" w14:paraId="0000002A">
      <w:pPr>
        <w:spacing w:after="60" w:before="60" w:lineRule="auto"/>
        <w:jc w:val="center"/>
        <w:rPr>
          <w:rFonts w:ascii="Lato" w:cs="Lato" w:eastAsia="Lato" w:hAnsi="Lato"/>
          <w:sz w:val="22"/>
          <w:szCs w:val="22"/>
        </w:rPr>
      </w:pPr>
      <w:r w:rsidDel="00000000" w:rsidR="00000000" w:rsidRPr="00000000">
        <w:rPr>
          <w:rFonts w:ascii="Lato" w:cs="Lato" w:eastAsia="Lato" w:hAnsi="Lato"/>
          <w:sz w:val="22"/>
          <w:szCs w:val="22"/>
          <w:rtl w:val="0"/>
        </w:rPr>
        <w:t xml:space="preserve">9 rue Georges Pitard, 75015 Paris</w:t>
      </w:r>
    </w:p>
    <w:p w:rsidR="00000000" w:rsidDel="00000000" w:rsidP="00000000" w:rsidRDefault="00000000" w:rsidRPr="00000000" w14:paraId="0000002B">
      <w:pPr>
        <w:spacing w:after="60" w:before="60" w:lineRule="auto"/>
        <w:jc w:val="center"/>
        <w:rPr>
          <w:color w:val="007fa1"/>
          <w:sz w:val="56"/>
          <w:szCs w:val="56"/>
        </w:rPr>
      </w:pPr>
      <w:r w:rsidDel="00000000" w:rsidR="00000000" w:rsidRPr="00000000">
        <w:rPr>
          <w:rFonts w:ascii="Lato" w:cs="Lato" w:eastAsia="Lato" w:hAnsi="Lato"/>
          <w:sz w:val="22"/>
          <w:szCs w:val="22"/>
          <w:rtl w:val="0"/>
        </w:rPr>
        <w:t xml:space="preserve">Tel : 01.45.18.43.90</w:t>
      </w:r>
      <w:r w:rsidDel="00000000" w:rsidR="00000000" w:rsidRPr="00000000">
        <w:br w:type="page"/>
      </w:r>
      <w:r w:rsidDel="00000000" w:rsidR="00000000" w:rsidRPr="00000000">
        <w:rPr>
          <w:rtl w:val="0"/>
        </w:rPr>
      </w:r>
    </w:p>
    <w:p w:rsidR="00000000" w:rsidDel="00000000" w:rsidP="00000000" w:rsidRDefault="00000000" w:rsidRPr="00000000" w14:paraId="0000002C">
      <w:pPr>
        <w:spacing w:after="60" w:before="60" w:lineRule="auto"/>
        <w:jc w:val="center"/>
        <w:rPr/>
      </w:pPr>
      <w:r w:rsidDel="00000000" w:rsidR="00000000" w:rsidRPr="00000000">
        <w:rPr>
          <w:color w:val="007fa1"/>
          <w:sz w:val="56"/>
          <w:szCs w:val="56"/>
          <w:rtl w:val="0"/>
        </w:rPr>
        <w:t xml:space="preserve">Checklist obligatoire des 21 éléments clés du protocole scientifique</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bl>
      <w:tblPr>
        <w:tblStyle w:val="Table1"/>
        <w:tblW w:w="906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trHeight w:val="1555" w:hRule="atLeast"/>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rPr>
                <w:b w:val="1"/>
                <w:color w:val="007fa1"/>
              </w:rPr>
            </w:pPr>
            <w:r w:rsidDel="00000000" w:rsidR="00000000" w:rsidRPr="00000000">
              <w:rPr>
                <w:b w:val="1"/>
                <w:color w:val="007fa1"/>
                <w:rtl w:val="0"/>
              </w:rPr>
              <w:t xml:space="preserve">Notice de complétion</w:t>
            </w:r>
          </w:p>
          <w:p w:rsidR="00000000" w:rsidDel="00000000" w:rsidP="00000000" w:rsidRDefault="00000000" w:rsidRPr="00000000" w14:paraId="0000002F">
            <w:pPr>
              <w:widowControl w:val="0"/>
              <w:numPr>
                <w:ilvl w:val="0"/>
                <w:numId w:val="2"/>
              </w:numPr>
              <w:ind w:left="720" w:hanging="360"/>
              <w:rPr/>
            </w:pPr>
            <w:r w:rsidDel="00000000" w:rsidR="00000000" w:rsidRPr="00000000">
              <w:rPr>
                <w:rtl w:val="0"/>
              </w:rPr>
              <w:t xml:space="preserve">Cette </w:t>
            </w:r>
            <w:r w:rsidDel="00000000" w:rsidR="00000000" w:rsidRPr="00000000">
              <w:rPr>
                <w:rtl w:val="0"/>
              </w:rPr>
              <w:t xml:space="preserve">checklist doit obligatoirement être complétée par le porteur de projet </w:t>
            </w:r>
          </w:p>
          <w:p w:rsidR="00000000" w:rsidDel="00000000" w:rsidP="00000000" w:rsidRDefault="00000000" w:rsidRPr="00000000" w14:paraId="00000030">
            <w:pPr>
              <w:widowControl w:val="0"/>
              <w:numPr>
                <w:ilvl w:val="0"/>
                <w:numId w:val="2"/>
              </w:numPr>
              <w:ind w:left="720" w:hanging="360"/>
              <w:rPr/>
            </w:pPr>
            <w:r w:rsidDel="00000000" w:rsidR="00000000" w:rsidRPr="00000000">
              <w:rPr>
                <w:rtl w:val="0"/>
              </w:rPr>
              <w:t xml:space="preserve">Elle doit être intégrée dans le dossier avant soumission au </w:t>
            </w:r>
            <w:hyperlink r:id="rId9">
              <w:r w:rsidDel="00000000" w:rsidR="00000000" w:rsidRPr="00000000">
                <w:rPr>
                  <w:color w:val="1155cc"/>
                  <w:u w:val="single"/>
                  <w:rtl w:val="0"/>
                </w:rPr>
                <w:t xml:space="preserve">CESREES</w:t>
              </w:r>
            </w:hyperlink>
            <w:r w:rsidDel="00000000" w:rsidR="00000000" w:rsidRPr="00000000">
              <w:rPr>
                <w:rtl w:val="0"/>
              </w:rPr>
            </w:r>
          </w:p>
          <w:p w:rsidR="00000000" w:rsidDel="00000000" w:rsidP="00000000" w:rsidRDefault="00000000" w:rsidRPr="00000000" w14:paraId="00000031">
            <w:pPr>
              <w:widowControl w:val="0"/>
              <w:numPr>
                <w:ilvl w:val="0"/>
                <w:numId w:val="2"/>
              </w:numPr>
              <w:ind w:left="720" w:hanging="360"/>
              <w:rPr/>
            </w:pPr>
            <w:r w:rsidDel="00000000" w:rsidR="00000000" w:rsidRPr="00000000">
              <w:rPr>
                <w:rtl w:val="0"/>
              </w:rPr>
              <w:t xml:space="preserve">Une seule case “non” suffit à ne pas valider la complétude du dossier</w:t>
            </w:r>
          </w:p>
          <w:p w:rsidR="00000000" w:rsidDel="00000000" w:rsidP="00000000" w:rsidRDefault="00000000" w:rsidRPr="00000000" w14:paraId="00000032">
            <w:pPr>
              <w:widowControl w:val="0"/>
              <w:rPr/>
            </w:pPr>
            <w:r w:rsidDel="00000000" w:rsidR="00000000" w:rsidRPr="00000000">
              <w:rPr>
                <w:rtl w:val="0"/>
              </w:rPr>
            </w:r>
          </w:p>
        </w:tc>
      </w:tr>
      <w:tr>
        <w:trPr>
          <w:trHeight w:val="1036" w:hRule="atLeast"/>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rPr>
                <w:highlight w:val="yellow"/>
              </w:rPr>
            </w:pPr>
            <w:r w:rsidDel="00000000" w:rsidR="00000000" w:rsidRPr="00000000">
              <w:rPr>
                <w:b w:val="1"/>
                <w:color w:val="007fa1"/>
                <w:rtl w:val="0"/>
              </w:rPr>
              <w:t xml:space="preserve">Nom du Projet</w:t>
            </w:r>
            <w:r w:rsidDel="00000000" w:rsidR="00000000" w:rsidRPr="00000000">
              <w:rPr>
                <w:rtl w:val="0"/>
              </w:rPr>
              <w:t xml:space="preserve"> : </w:t>
            </w:r>
            <w:r w:rsidDel="00000000" w:rsidR="00000000" w:rsidRPr="00000000">
              <w:rPr>
                <w:highlight w:val="lightGray"/>
                <w:rtl w:val="0"/>
              </w:rPr>
              <w:t xml:space="preserve">&lt;XXX&gt;</w:t>
            </w:r>
            <w:r w:rsidDel="00000000" w:rsidR="00000000" w:rsidRPr="00000000">
              <w:rPr>
                <w:rtl w:val="0"/>
              </w:rPr>
            </w:r>
          </w:p>
        </w:tc>
      </w:tr>
    </w:tbl>
    <w:p w:rsidR="00000000" w:rsidDel="00000000" w:rsidP="00000000" w:rsidRDefault="00000000" w:rsidRPr="00000000" w14:paraId="00000034">
      <w:pPr>
        <w:spacing w:after="60" w:before="60" w:lineRule="auto"/>
        <w:rPr/>
      </w:pPr>
      <w:r w:rsidDel="00000000" w:rsidR="00000000" w:rsidRPr="00000000">
        <w:rPr>
          <w:rtl w:val="0"/>
        </w:rPr>
      </w:r>
    </w:p>
    <w:p w:rsidR="00000000" w:rsidDel="00000000" w:rsidP="00000000" w:rsidRDefault="00000000" w:rsidRPr="00000000" w14:paraId="00000035">
      <w:pPr>
        <w:spacing w:after="60" w:before="60" w:lineRule="auto"/>
        <w:rPr/>
      </w:pPr>
      <w:r w:rsidDel="00000000" w:rsidR="00000000" w:rsidRPr="00000000">
        <w:rPr>
          <w:rtl w:val="0"/>
        </w:rPr>
      </w:r>
    </w:p>
    <w:p w:rsidR="00000000" w:rsidDel="00000000" w:rsidP="00000000" w:rsidRDefault="00000000" w:rsidRPr="00000000" w14:paraId="00000036">
      <w:pPr>
        <w:keepNext w:val="1"/>
        <w:keepLines w:val="1"/>
        <w:pBdr>
          <w:top w:space="0" w:sz="0" w:val="nil"/>
          <w:left w:space="0" w:sz="0" w:val="nil"/>
          <w:bottom w:space="0" w:sz="0" w:val="nil"/>
          <w:right w:space="0" w:sz="0" w:val="nil"/>
          <w:between w:space="0" w:sz="0" w:val="nil"/>
        </w:pBdr>
        <w:spacing w:after="60" w:before="60" w:lineRule="auto"/>
        <w:rPr>
          <w:color w:val="007fa1"/>
          <w:sz w:val="32"/>
          <w:szCs w:val="32"/>
        </w:rPr>
      </w:pPr>
      <w:r w:rsidDel="00000000" w:rsidR="00000000" w:rsidRPr="00000000">
        <w:rPr>
          <w:color w:val="007fa1"/>
          <w:sz w:val="32"/>
          <w:szCs w:val="32"/>
          <w:rtl w:val="0"/>
        </w:rPr>
        <w:t xml:space="preserve">GENERAL</w:t>
      </w:r>
    </w:p>
    <w:tbl>
      <w:tblPr>
        <w:tblStyle w:val="Table2"/>
        <w:tblW w:w="9062.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45"/>
        <w:gridCol w:w="709"/>
        <w:gridCol w:w="708"/>
        <w:tblGridChange w:id="0">
          <w:tblGrid>
            <w:gridCol w:w="7645"/>
            <w:gridCol w:w="709"/>
            <w:gridCol w:w="708"/>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spacing w:after="60" w:before="60" w:lineRule="auto"/>
              <w:rPr/>
            </w:pPr>
            <w:r w:rsidDel="00000000" w:rsidR="00000000" w:rsidRPr="00000000">
              <w:rPr>
                <w:rtl w:val="0"/>
              </w:rPr>
            </w:r>
          </w:p>
        </w:tc>
        <w:tc>
          <w:tcPr>
            <w:tcBorders>
              <w:top w:color="ffffff"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8">
            <w:pPr>
              <w:widowControl w:val="0"/>
              <w:spacing w:after="60" w:before="60" w:lineRule="auto"/>
              <w:jc w:val="center"/>
              <w:rPr>
                <w:b w:val="1"/>
                <w:color w:val="007fa1"/>
                <w:sz w:val="18"/>
                <w:szCs w:val="18"/>
              </w:rPr>
            </w:pPr>
            <w:r w:rsidDel="00000000" w:rsidR="00000000" w:rsidRPr="00000000">
              <w:rPr>
                <w:b w:val="1"/>
                <w:color w:val="007fa1"/>
                <w:sz w:val="18"/>
                <w:szCs w:val="18"/>
                <w:rtl w:val="0"/>
              </w:rPr>
              <w:t xml:space="preserve">OUI</w:t>
            </w:r>
          </w:p>
        </w:tc>
        <w:tc>
          <w:tcPr>
            <w:tcBorders>
              <w:top w:color="ffffff"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39">
            <w:pPr>
              <w:widowControl w:val="0"/>
              <w:spacing w:after="60" w:before="60" w:lineRule="auto"/>
              <w:jc w:val="center"/>
              <w:rPr>
                <w:b w:val="1"/>
                <w:color w:val="007fa1"/>
                <w:sz w:val="18"/>
                <w:szCs w:val="18"/>
              </w:rPr>
            </w:pPr>
            <w:r w:rsidDel="00000000" w:rsidR="00000000" w:rsidRPr="00000000">
              <w:rPr>
                <w:b w:val="1"/>
                <w:color w:val="007fa1"/>
                <w:sz w:val="18"/>
                <w:szCs w:val="18"/>
                <w:rtl w:val="0"/>
              </w:rPr>
              <w:t xml:space="preserve">NON</w:t>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spacing w:after="144" w:before="144" w:lineRule="auto"/>
              <w:jc w:val="both"/>
              <w:rPr>
                <w:sz w:val="22"/>
                <w:szCs w:val="22"/>
              </w:rPr>
            </w:pPr>
            <w:r w:rsidDel="00000000" w:rsidR="00000000" w:rsidRPr="00000000">
              <w:rPr>
                <w:sz w:val="22"/>
                <w:szCs w:val="22"/>
                <w:rtl w:val="0"/>
              </w:rPr>
              <w:t xml:space="preserve">La structure, le format et le nombre de pages sont respectés et la taille de police utilisée est standard.</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widowControl w:val="0"/>
              <w:spacing w:after="60" w:before="60" w:lineRule="auto"/>
              <w:jc w:val="center"/>
              <w:rPr>
                <w:sz w:val="22"/>
                <w:szCs w:val="22"/>
              </w:rPr>
            </w:pPr>
            <w:r w:rsidDel="00000000" w:rsidR="00000000" w:rsidRPr="00000000">
              <w:rPr>
                <w:rtl w:val="0"/>
              </w:rPr>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spacing w:after="144" w:before="144" w:lineRule="auto"/>
              <w:jc w:val="both"/>
              <w:rPr>
                <w:sz w:val="22"/>
                <w:szCs w:val="22"/>
              </w:rPr>
            </w:pPr>
            <w:r w:rsidDel="00000000" w:rsidR="00000000" w:rsidRPr="00000000">
              <w:rPr>
                <w:sz w:val="22"/>
                <w:szCs w:val="22"/>
                <w:rtl w:val="0"/>
              </w:rPr>
              <w:t xml:space="preserve">Si le projet nécessite l’utilisation de données du SNDS</w:t>
            </w:r>
            <w:r w:rsidDel="00000000" w:rsidR="00000000" w:rsidRPr="00000000">
              <w:rPr>
                <w:sz w:val="22"/>
                <w:szCs w:val="22"/>
                <w:rtl w:val="0"/>
              </w:rPr>
              <w:t xml:space="preserve">, l’expression de besoin annexée au protocole a été remplie</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widowControl w:val="0"/>
              <w:spacing w:after="60" w:before="60" w:lineRule="auto"/>
              <w:jc w:val="center"/>
              <w:rPr>
                <w:sz w:val="22"/>
                <w:szCs w:val="22"/>
              </w:rPr>
            </w:pPr>
            <w:r w:rsidDel="00000000" w:rsidR="00000000" w:rsidRPr="00000000">
              <w:rPr>
                <w:rtl w:val="0"/>
              </w:rPr>
            </w:r>
          </w:p>
        </w:tc>
      </w:tr>
    </w:tbl>
    <w:p w:rsidR="00000000" w:rsidDel="00000000" w:rsidP="00000000" w:rsidRDefault="00000000" w:rsidRPr="00000000" w14:paraId="00000040">
      <w:pPr>
        <w:keepNext w:val="1"/>
        <w:keepLines w:val="1"/>
        <w:pBdr>
          <w:top w:space="0" w:sz="0" w:val="nil"/>
          <w:left w:space="0" w:sz="0" w:val="nil"/>
          <w:bottom w:space="0" w:sz="0" w:val="nil"/>
          <w:right w:space="0" w:sz="0" w:val="nil"/>
          <w:between w:space="0" w:sz="0" w:val="nil"/>
        </w:pBdr>
        <w:spacing w:after="60" w:before="60" w:lineRule="auto"/>
        <w:rPr>
          <w:color w:val="007fa1"/>
          <w:sz w:val="32"/>
          <w:szCs w:val="32"/>
        </w:rPr>
      </w:pPr>
      <w:r w:rsidDel="00000000" w:rsidR="00000000" w:rsidRPr="00000000">
        <w:rPr>
          <w:rtl w:val="0"/>
        </w:rPr>
      </w:r>
    </w:p>
    <w:p w:rsidR="00000000" w:rsidDel="00000000" w:rsidP="00000000" w:rsidRDefault="00000000" w:rsidRPr="00000000" w14:paraId="00000041">
      <w:pPr>
        <w:keepNext w:val="1"/>
        <w:keepLines w:val="1"/>
        <w:pBdr>
          <w:top w:space="0" w:sz="0" w:val="nil"/>
          <w:left w:space="0" w:sz="0" w:val="nil"/>
          <w:bottom w:space="0" w:sz="0" w:val="nil"/>
          <w:right w:space="0" w:sz="0" w:val="nil"/>
          <w:between w:space="0" w:sz="0" w:val="nil"/>
        </w:pBdr>
        <w:spacing w:after="60" w:before="60" w:lineRule="auto"/>
        <w:rPr>
          <w:color w:val="007fa1"/>
          <w:sz w:val="32"/>
          <w:szCs w:val="32"/>
        </w:rPr>
      </w:pPr>
      <w:r w:rsidDel="00000000" w:rsidR="00000000" w:rsidRPr="00000000">
        <w:rPr>
          <w:rtl w:val="0"/>
        </w:rPr>
      </w:r>
    </w:p>
    <w:p w:rsidR="00000000" w:rsidDel="00000000" w:rsidP="00000000" w:rsidRDefault="00000000" w:rsidRPr="00000000" w14:paraId="00000042">
      <w:pPr>
        <w:keepNext w:val="1"/>
        <w:keepLines w:val="1"/>
        <w:pBdr>
          <w:top w:space="0" w:sz="0" w:val="nil"/>
          <w:left w:space="0" w:sz="0" w:val="nil"/>
          <w:bottom w:space="0" w:sz="0" w:val="nil"/>
          <w:right w:space="0" w:sz="0" w:val="nil"/>
          <w:between w:space="0" w:sz="0" w:val="nil"/>
        </w:pBdr>
        <w:spacing w:after="60" w:before="60" w:lineRule="auto"/>
        <w:rPr>
          <w:color w:val="007fa1"/>
          <w:sz w:val="32"/>
          <w:szCs w:val="32"/>
        </w:rPr>
      </w:pPr>
      <w:r w:rsidDel="00000000" w:rsidR="00000000" w:rsidRPr="00000000">
        <w:rPr>
          <w:color w:val="007fa1"/>
          <w:sz w:val="32"/>
          <w:szCs w:val="32"/>
          <w:rtl w:val="0"/>
        </w:rPr>
        <w:t xml:space="preserve">INTRODUCTION, OBJECTIF ET FINALITÉ</w:t>
      </w:r>
    </w:p>
    <w:tbl>
      <w:tblPr>
        <w:tblStyle w:val="Table3"/>
        <w:tblW w:w="9062.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45"/>
        <w:gridCol w:w="709"/>
        <w:gridCol w:w="708"/>
        <w:tblGridChange w:id="0">
          <w:tblGrid>
            <w:gridCol w:w="7645"/>
            <w:gridCol w:w="709"/>
            <w:gridCol w:w="708"/>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spacing w:after="60" w:before="60" w:lineRule="auto"/>
              <w:rPr/>
            </w:pPr>
            <w:r w:rsidDel="00000000" w:rsidR="00000000" w:rsidRPr="00000000">
              <w:rPr>
                <w:rtl w:val="0"/>
              </w:rPr>
            </w:r>
          </w:p>
        </w:tc>
        <w:tc>
          <w:tcPr>
            <w:tcBorders>
              <w:top w:color="ffffff"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widowControl w:val="0"/>
              <w:spacing w:after="60" w:before="60" w:lineRule="auto"/>
              <w:jc w:val="center"/>
              <w:rPr>
                <w:b w:val="1"/>
                <w:color w:val="007fa1"/>
                <w:sz w:val="18"/>
                <w:szCs w:val="18"/>
              </w:rPr>
            </w:pPr>
            <w:r w:rsidDel="00000000" w:rsidR="00000000" w:rsidRPr="00000000">
              <w:rPr>
                <w:b w:val="1"/>
                <w:color w:val="007fa1"/>
                <w:sz w:val="18"/>
                <w:szCs w:val="18"/>
                <w:rtl w:val="0"/>
              </w:rPr>
              <w:t xml:space="preserve">OUI</w:t>
            </w:r>
          </w:p>
        </w:tc>
        <w:tc>
          <w:tcPr>
            <w:tcBorders>
              <w:top w:color="ffffff"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5">
            <w:pPr>
              <w:widowControl w:val="0"/>
              <w:spacing w:after="60" w:before="60" w:lineRule="auto"/>
              <w:jc w:val="center"/>
              <w:rPr>
                <w:b w:val="1"/>
                <w:color w:val="007fa1"/>
                <w:sz w:val="18"/>
                <w:szCs w:val="18"/>
              </w:rPr>
            </w:pPr>
            <w:r w:rsidDel="00000000" w:rsidR="00000000" w:rsidRPr="00000000">
              <w:rPr>
                <w:b w:val="1"/>
                <w:color w:val="007fa1"/>
                <w:sz w:val="18"/>
                <w:szCs w:val="18"/>
                <w:rtl w:val="0"/>
              </w:rPr>
              <w:t xml:space="preserve">NON</w:t>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46">
            <w:pPr>
              <w:spacing w:after="60" w:before="60" w:lineRule="auto"/>
              <w:jc w:val="both"/>
              <w:rPr>
                <w:sz w:val="22"/>
                <w:szCs w:val="22"/>
              </w:rPr>
            </w:pPr>
            <w:bookmarkStart w:colFirst="0" w:colLast="0" w:name="_heading=h.30j0zll" w:id="0"/>
            <w:bookmarkEnd w:id="0"/>
            <w:r w:rsidDel="00000000" w:rsidR="00000000" w:rsidRPr="00000000">
              <w:rPr>
                <w:sz w:val="22"/>
                <w:szCs w:val="22"/>
                <w:rtl w:val="0"/>
              </w:rPr>
              <w:t xml:space="preserve">Le ou les responsables de traitement (RT), au sens du RGPD, sont clairement identifiés ainsi que le responsable de mise en œuvre (RMO), le cas échéant. Le Délégué à la Protection des Données du RT est identifié.</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widowControl w:val="0"/>
              <w:spacing w:after="60" w:before="60" w:lineRule="auto"/>
              <w:jc w:val="center"/>
              <w:rPr>
                <w:sz w:val="22"/>
                <w:szCs w:val="22"/>
              </w:rPr>
            </w:pPr>
            <w:r w:rsidDel="00000000" w:rsidR="00000000" w:rsidRPr="00000000">
              <w:rPr>
                <w:rtl w:val="0"/>
              </w:rPr>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spacing w:after="60" w:before="60" w:lineRule="auto"/>
              <w:jc w:val="both"/>
              <w:rPr>
                <w:sz w:val="22"/>
                <w:szCs w:val="22"/>
              </w:rPr>
            </w:pPr>
            <w:r w:rsidDel="00000000" w:rsidR="00000000" w:rsidRPr="00000000">
              <w:rPr>
                <w:sz w:val="22"/>
                <w:szCs w:val="22"/>
                <w:rtl w:val="0"/>
              </w:rPr>
              <w:t xml:space="preserve">Le contexte et la justification du projet permettant de comprendre sa pertinence du projet sont précisés.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widowControl w:val="0"/>
              <w:spacing w:after="60" w:before="60" w:lineRule="auto"/>
              <w:jc w:val="center"/>
              <w:rPr>
                <w:sz w:val="22"/>
                <w:szCs w:val="22"/>
              </w:rPr>
            </w:pPr>
            <w:r w:rsidDel="00000000" w:rsidR="00000000" w:rsidRPr="00000000">
              <w:rPr>
                <w:rtl w:val="0"/>
              </w:rPr>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spacing w:after="60" w:before="60" w:lineRule="auto"/>
              <w:jc w:val="both"/>
              <w:rPr>
                <w:sz w:val="22"/>
                <w:szCs w:val="22"/>
              </w:rPr>
            </w:pPr>
            <w:r w:rsidDel="00000000" w:rsidR="00000000" w:rsidRPr="00000000">
              <w:rPr>
                <w:sz w:val="22"/>
                <w:szCs w:val="22"/>
                <w:rtl w:val="0"/>
              </w:rPr>
              <w:t xml:space="preserve">Le(s) objectif(s) de l’étude, les critères d’évaluation associés et la nature du(es) bénéfice(s) sont déclinés.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widowControl w:val="0"/>
              <w:spacing w:after="60" w:before="60" w:lineRule="auto"/>
              <w:jc w:val="center"/>
              <w:rPr>
                <w:sz w:val="22"/>
                <w:szCs w:val="22"/>
              </w:rPr>
            </w:pPr>
            <w:r w:rsidDel="00000000" w:rsidR="00000000" w:rsidRPr="00000000">
              <w:rPr>
                <w:rtl w:val="0"/>
              </w:rPr>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spacing w:after="60" w:before="60" w:lineRule="auto"/>
              <w:jc w:val="both"/>
              <w:rPr>
                <w:sz w:val="22"/>
                <w:szCs w:val="22"/>
              </w:rPr>
            </w:pPr>
            <w:r w:rsidDel="00000000" w:rsidR="00000000" w:rsidRPr="00000000">
              <w:rPr>
                <w:sz w:val="22"/>
                <w:szCs w:val="22"/>
                <w:rtl w:val="0"/>
              </w:rPr>
              <w:t xml:space="preserve">L'intérêt public de l’étude est détaillé : bénéfice pour la société, mise à disposition des résultats et leur diffusion la plus large, etc.</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widowControl w:val="0"/>
              <w:spacing w:after="60" w:before="60" w:lineRule="auto"/>
              <w:jc w:val="center"/>
              <w:rPr>
                <w:sz w:val="22"/>
                <w:szCs w:val="22"/>
              </w:rPr>
            </w:pPr>
            <w:r w:rsidDel="00000000" w:rsidR="00000000" w:rsidRPr="00000000">
              <w:rPr>
                <w:rtl w:val="0"/>
              </w:rPr>
            </w:r>
          </w:p>
        </w:tc>
      </w:tr>
    </w:tbl>
    <w:p w:rsidR="00000000" w:rsidDel="00000000" w:rsidP="00000000" w:rsidRDefault="00000000" w:rsidRPr="00000000" w14:paraId="00000052">
      <w:pPr>
        <w:keepNext w:val="1"/>
        <w:keepLines w:val="1"/>
        <w:pBdr>
          <w:top w:space="0" w:sz="0" w:val="nil"/>
          <w:left w:space="0" w:sz="0" w:val="nil"/>
          <w:bottom w:space="0" w:sz="0" w:val="nil"/>
          <w:right w:space="0" w:sz="0" w:val="nil"/>
          <w:between w:space="0" w:sz="0" w:val="nil"/>
        </w:pBdr>
        <w:spacing w:after="60" w:before="60" w:lineRule="auto"/>
        <w:rPr>
          <w:color w:val="2f5496"/>
          <w:sz w:val="22"/>
          <w:szCs w:val="22"/>
        </w:rPr>
      </w:pPr>
      <w:r w:rsidDel="00000000" w:rsidR="00000000" w:rsidRPr="00000000">
        <w:rPr>
          <w:rtl w:val="0"/>
        </w:rPr>
      </w:r>
    </w:p>
    <w:p w:rsidR="00000000" w:rsidDel="00000000" w:rsidP="00000000" w:rsidRDefault="00000000" w:rsidRPr="00000000" w14:paraId="00000053">
      <w:pPr>
        <w:keepNext w:val="1"/>
        <w:keepLines w:val="1"/>
        <w:pBdr>
          <w:top w:space="0" w:sz="0" w:val="nil"/>
          <w:left w:space="0" w:sz="0" w:val="nil"/>
          <w:bottom w:space="0" w:sz="0" w:val="nil"/>
          <w:right w:space="0" w:sz="0" w:val="nil"/>
          <w:between w:space="0" w:sz="0" w:val="nil"/>
        </w:pBdr>
        <w:spacing w:after="60" w:before="60" w:lineRule="auto"/>
        <w:rPr>
          <w:color w:val="007fa1"/>
          <w:sz w:val="32"/>
          <w:szCs w:val="32"/>
        </w:rPr>
      </w:pPr>
      <w:r w:rsidDel="00000000" w:rsidR="00000000" w:rsidRPr="00000000">
        <w:rPr>
          <w:color w:val="007fa1"/>
          <w:sz w:val="32"/>
          <w:szCs w:val="32"/>
          <w:rtl w:val="0"/>
        </w:rPr>
        <w:t xml:space="preserve">MÉTHODOLOGIE</w:t>
      </w:r>
    </w:p>
    <w:tbl>
      <w:tblPr>
        <w:tblStyle w:val="Table4"/>
        <w:tblW w:w="9062.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45"/>
        <w:gridCol w:w="709"/>
        <w:gridCol w:w="708"/>
        <w:tblGridChange w:id="0">
          <w:tblGrid>
            <w:gridCol w:w="7645"/>
            <w:gridCol w:w="709"/>
            <w:gridCol w:w="708"/>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4">
            <w:pPr>
              <w:spacing w:after="60" w:before="60" w:lineRule="auto"/>
              <w:rPr/>
            </w:pPr>
            <w:r w:rsidDel="00000000" w:rsidR="00000000" w:rsidRPr="00000000">
              <w:rPr>
                <w:rtl w:val="0"/>
              </w:rPr>
            </w:r>
          </w:p>
        </w:tc>
        <w:tc>
          <w:tcPr>
            <w:tcBorders>
              <w:top w:color="ffffff"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60" w:before="60" w:lineRule="auto"/>
              <w:jc w:val="center"/>
              <w:rPr>
                <w:b w:val="1"/>
                <w:color w:val="007fa1"/>
                <w:sz w:val="18"/>
                <w:szCs w:val="18"/>
              </w:rPr>
            </w:pPr>
            <w:r w:rsidDel="00000000" w:rsidR="00000000" w:rsidRPr="00000000">
              <w:rPr>
                <w:b w:val="1"/>
                <w:color w:val="007fa1"/>
                <w:sz w:val="18"/>
                <w:szCs w:val="18"/>
                <w:rtl w:val="0"/>
              </w:rPr>
              <w:t xml:space="preserve">OUI</w:t>
            </w:r>
          </w:p>
        </w:tc>
        <w:tc>
          <w:tcPr>
            <w:tcBorders>
              <w:top w:color="ffffff"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60" w:before="60" w:lineRule="auto"/>
              <w:jc w:val="center"/>
              <w:rPr>
                <w:b w:val="1"/>
                <w:color w:val="007fa1"/>
                <w:sz w:val="18"/>
                <w:szCs w:val="18"/>
              </w:rPr>
            </w:pPr>
            <w:r w:rsidDel="00000000" w:rsidR="00000000" w:rsidRPr="00000000">
              <w:rPr>
                <w:b w:val="1"/>
                <w:color w:val="007fa1"/>
                <w:sz w:val="18"/>
                <w:szCs w:val="18"/>
                <w:rtl w:val="0"/>
              </w:rPr>
              <w:t xml:space="preserve">NON</w:t>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spacing w:after="60" w:before="60" w:lineRule="auto"/>
              <w:jc w:val="both"/>
              <w:rPr>
                <w:sz w:val="22"/>
                <w:szCs w:val="22"/>
              </w:rPr>
            </w:pPr>
            <w:r w:rsidDel="00000000" w:rsidR="00000000" w:rsidRPr="00000000">
              <w:rPr>
                <w:sz w:val="22"/>
                <w:szCs w:val="22"/>
                <w:rtl w:val="0"/>
              </w:rPr>
              <w:t xml:space="preserve">Les sources de données mobilisées sont décrites.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59">
            <w:pPr>
              <w:widowControl w:val="0"/>
              <w:spacing w:after="60" w:before="60" w:lineRule="auto"/>
              <w:jc w:val="center"/>
              <w:rPr>
                <w:sz w:val="22"/>
                <w:szCs w:val="22"/>
              </w:rPr>
            </w:pPr>
            <w:r w:rsidDel="00000000" w:rsidR="00000000" w:rsidRPr="00000000">
              <w:rPr>
                <w:rtl w:val="0"/>
              </w:rPr>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5A">
            <w:pPr>
              <w:spacing w:after="60" w:before="60" w:lineRule="auto"/>
              <w:rPr>
                <w:sz w:val="22"/>
                <w:szCs w:val="22"/>
              </w:rPr>
            </w:pPr>
            <w:r w:rsidDel="00000000" w:rsidR="00000000" w:rsidRPr="00000000">
              <w:rPr>
                <w:sz w:val="22"/>
                <w:szCs w:val="22"/>
                <w:rtl w:val="0"/>
              </w:rPr>
              <w:t xml:space="preserve">Les variables nécessaires à l’étude sont précisées.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widowControl w:val="0"/>
              <w:spacing w:after="60" w:before="60" w:lineRule="auto"/>
              <w:jc w:val="center"/>
              <w:rPr>
                <w:sz w:val="22"/>
                <w:szCs w:val="22"/>
              </w:rPr>
            </w:pPr>
            <w:r w:rsidDel="00000000" w:rsidR="00000000" w:rsidRPr="00000000">
              <w:rPr>
                <w:rtl w:val="0"/>
              </w:rPr>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5D">
            <w:pPr>
              <w:spacing w:after="60" w:before="60" w:lineRule="auto"/>
              <w:jc w:val="both"/>
              <w:rPr>
                <w:sz w:val="22"/>
                <w:szCs w:val="22"/>
              </w:rPr>
            </w:pPr>
            <w:r w:rsidDel="00000000" w:rsidR="00000000" w:rsidRPr="00000000">
              <w:rPr>
                <w:sz w:val="22"/>
                <w:szCs w:val="22"/>
                <w:rtl w:val="0"/>
              </w:rPr>
              <w:t xml:space="preserve">L'historique des données nécessaires pour l'étude (et l’extraction lorsque différent) est précisé en année (de telle année à telle année).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60" w:before="60" w:lineRule="auto"/>
              <w:jc w:val="center"/>
              <w:rPr>
                <w:sz w:val="22"/>
                <w:szCs w:val="22"/>
              </w:rPr>
            </w:pPr>
            <w:r w:rsidDel="00000000" w:rsidR="00000000" w:rsidRPr="00000000">
              <w:rPr>
                <w:rtl w:val="0"/>
              </w:rPr>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spacing w:after="60" w:before="60" w:lineRule="auto"/>
              <w:jc w:val="both"/>
              <w:rPr>
                <w:sz w:val="22"/>
                <w:szCs w:val="22"/>
              </w:rPr>
            </w:pPr>
            <w:r w:rsidDel="00000000" w:rsidR="00000000" w:rsidRPr="00000000">
              <w:rPr>
                <w:sz w:val="22"/>
                <w:szCs w:val="22"/>
                <w:rtl w:val="0"/>
              </w:rPr>
              <w:t xml:space="preserve">Les critères de sélection de la population d'étude sont explicités.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widowControl w:val="0"/>
              <w:spacing w:after="60" w:before="60" w:lineRule="auto"/>
              <w:jc w:val="center"/>
              <w:rPr>
                <w:sz w:val="22"/>
                <w:szCs w:val="22"/>
              </w:rPr>
            </w:pPr>
            <w:r w:rsidDel="00000000" w:rsidR="00000000" w:rsidRPr="00000000">
              <w:rPr>
                <w:rtl w:val="0"/>
              </w:rPr>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spacing w:after="60" w:before="60" w:lineRule="auto"/>
              <w:jc w:val="both"/>
              <w:rPr>
                <w:sz w:val="22"/>
                <w:szCs w:val="22"/>
              </w:rPr>
            </w:pPr>
            <w:r w:rsidDel="00000000" w:rsidR="00000000" w:rsidRPr="00000000">
              <w:rPr>
                <w:sz w:val="22"/>
                <w:szCs w:val="22"/>
                <w:rtl w:val="0"/>
              </w:rPr>
              <w:t xml:space="preserve">Une estimation de la population d’étude est fournie.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60" w:before="60" w:lineRule="auto"/>
              <w:jc w:val="center"/>
              <w:rPr>
                <w:sz w:val="22"/>
                <w:szCs w:val="22"/>
              </w:rPr>
            </w:pPr>
            <w:r w:rsidDel="00000000" w:rsidR="00000000" w:rsidRPr="00000000">
              <w:rPr>
                <w:rtl w:val="0"/>
              </w:rPr>
            </w:r>
          </w:p>
        </w:tc>
      </w:tr>
      <w:tr>
        <w:trPr>
          <w:trHeight w:val="599" w:hRule="atLeast"/>
        </w:trP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spacing w:after="60" w:before="60" w:lineRule="auto"/>
              <w:jc w:val="both"/>
              <w:rPr>
                <w:sz w:val="22"/>
                <w:szCs w:val="22"/>
              </w:rPr>
            </w:pPr>
            <w:r w:rsidDel="00000000" w:rsidR="00000000" w:rsidRPr="00000000">
              <w:rPr>
                <w:sz w:val="22"/>
                <w:szCs w:val="22"/>
                <w:rtl w:val="0"/>
              </w:rPr>
              <w:t xml:space="preserve">En cas d’appariement entre plusieurs bases de données, les variables d’appariement sont identifiées.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widowControl w:val="0"/>
              <w:spacing w:after="60" w:before="60" w:lineRule="auto"/>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widowControl w:val="0"/>
              <w:spacing w:after="60" w:before="60" w:lineRule="auto"/>
              <w:jc w:val="center"/>
              <w:rPr>
                <w:sz w:val="22"/>
                <w:szCs w:val="22"/>
              </w:rPr>
            </w:pPr>
            <w:r w:rsidDel="00000000" w:rsidR="00000000" w:rsidRPr="00000000">
              <w:rPr>
                <w:rtl w:val="0"/>
              </w:rPr>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spacing w:after="60" w:before="60" w:lineRule="auto"/>
              <w:jc w:val="both"/>
              <w:rPr>
                <w:sz w:val="22"/>
                <w:szCs w:val="22"/>
              </w:rPr>
            </w:pPr>
            <w:r w:rsidDel="00000000" w:rsidR="00000000" w:rsidRPr="00000000">
              <w:rPr>
                <w:sz w:val="22"/>
                <w:szCs w:val="22"/>
                <w:rtl w:val="0"/>
              </w:rPr>
              <w:t xml:space="preserve">Les biais potentiels des résultats sont identifiés.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60" w:before="60" w:lineRule="auto"/>
              <w:jc w:val="center"/>
              <w:rPr>
                <w:sz w:val="22"/>
                <w:szCs w:val="22"/>
              </w:rPr>
            </w:pPr>
            <w:r w:rsidDel="00000000" w:rsidR="00000000" w:rsidRPr="00000000">
              <w:rPr>
                <w:rtl w:val="0"/>
              </w:rPr>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spacing w:after="60" w:before="60" w:lineRule="auto"/>
              <w:jc w:val="both"/>
              <w:rPr>
                <w:sz w:val="22"/>
                <w:szCs w:val="22"/>
              </w:rPr>
            </w:pPr>
            <w:r w:rsidDel="00000000" w:rsidR="00000000" w:rsidRPr="00000000">
              <w:rPr>
                <w:sz w:val="22"/>
                <w:szCs w:val="22"/>
                <w:rtl w:val="0"/>
              </w:rPr>
              <w:t xml:space="preserve">La durée d’accès</w:t>
            </w:r>
            <w:r w:rsidDel="00000000" w:rsidR="00000000" w:rsidRPr="00000000">
              <w:rPr>
                <w:sz w:val="22"/>
                <w:szCs w:val="22"/>
                <w:vertAlign w:val="superscript"/>
              </w:rPr>
              <w:footnoteReference w:customMarkFollows="0" w:id="0"/>
            </w:r>
            <w:r w:rsidDel="00000000" w:rsidR="00000000" w:rsidRPr="00000000">
              <w:rPr>
                <w:sz w:val="22"/>
                <w:szCs w:val="22"/>
                <w:rtl w:val="0"/>
              </w:rPr>
              <w:t xml:space="preserve"> aux données est indiquée (nombre d’années).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widowControl w:val="0"/>
              <w:spacing w:after="60" w:before="60" w:lineRule="auto"/>
              <w:jc w:val="center"/>
              <w:rPr>
                <w:sz w:val="22"/>
                <w:szCs w:val="22"/>
              </w:rPr>
            </w:pPr>
            <w:r w:rsidDel="00000000" w:rsidR="00000000" w:rsidRPr="00000000">
              <w:rPr>
                <w:rtl w:val="0"/>
              </w:rPr>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spacing w:after="60" w:before="60" w:lineRule="auto"/>
              <w:jc w:val="both"/>
              <w:rPr>
                <w:sz w:val="22"/>
                <w:szCs w:val="22"/>
              </w:rPr>
            </w:pPr>
            <w:r w:rsidDel="00000000" w:rsidR="00000000" w:rsidRPr="00000000">
              <w:rPr>
                <w:sz w:val="22"/>
                <w:szCs w:val="22"/>
                <w:rtl w:val="0"/>
              </w:rPr>
              <w:t xml:space="preserve">Les expertises nécessaires pour mener l’étude et traiter les données sont indiquées (formation aux données du SNDS, expérience antérieure dans le traitement des données sollicitées).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widowControl w:val="0"/>
              <w:spacing w:after="60" w:before="60" w:lineRule="auto"/>
              <w:jc w:val="center"/>
              <w:rPr>
                <w:sz w:val="22"/>
                <w:szCs w:val="22"/>
              </w:rPr>
            </w:pPr>
            <w:r w:rsidDel="00000000" w:rsidR="00000000" w:rsidRPr="00000000">
              <w:rPr>
                <w:rtl w:val="0"/>
              </w:rPr>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spacing w:after="60" w:before="60" w:lineRule="auto"/>
              <w:jc w:val="both"/>
              <w:rPr>
                <w:sz w:val="22"/>
                <w:szCs w:val="22"/>
              </w:rPr>
            </w:pPr>
            <w:r w:rsidDel="00000000" w:rsidR="00000000" w:rsidRPr="00000000">
              <w:rPr>
                <w:sz w:val="22"/>
                <w:szCs w:val="22"/>
                <w:rtl w:val="0"/>
              </w:rPr>
              <w:t xml:space="preserve">Les grandes étapes du projet sont décrites dans un calendrier réaliste.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widowControl w:val="0"/>
              <w:spacing w:after="60" w:before="60" w:lineRule="auto"/>
              <w:jc w:val="center"/>
              <w:rPr>
                <w:sz w:val="22"/>
                <w:szCs w:val="22"/>
              </w:rPr>
            </w:pPr>
            <w:r w:rsidDel="00000000" w:rsidR="00000000" w:rsidRPr="00000000">
              <w:rPr>
                <w:rtl w:val="0"/>
              </w:rPr>
            </w:r>
          </w:p>
        </w:tc>
      </w:tr>
    </w:tbl>
    <w:p w:rsidR="00000000" w:rsidDel="00000000" w:rsidP="00000000" w:rsidRDefault="00000000" w:rsidRPr="00000000" w14:paraId="00000075">
      <w:pPr>
        <w:keepNext w:val="1"/>
        <w:keepLines w:val="1"/>
        <w:pBdr>
          <w:top w:space="0" w:sz="0" w:val="nil"/>
          <w:left w:space="0" w:sz="0" w:val="nil"/>
          <w:bottom w:space="0" w:sz="0" w:val="nil"/>
          <w:right w:space="0" w:sz="0" w:val="nil"/>
          <w:between w:space="0" w:sz="0" w:val="nil"/>
        </w:pBdr>
        <w:spacing w:after="60" w:before="60" w:lineRule="auto"/>
        <w:rPr>
          <w:color w:val="007fa1"/>
          <w:sz w:val="32"/>
          <w:szCs w:val="32"/>
        </w:rPr>
      </w:pPr>
      <w:r w:rsidDel="00000000" w:rsidR="00000000" w:rsidRPr="00000000">
        <w:rPr>
          <w:rtl w:val="0"/>
        </w:rPr>
      </w:r>
    </w:p>
    <w:p w:rsidR="00000000" w:rsidDel="00000000" w:rsidP="00000000" w:rsidRDefault="00000000" w:rsidRPr="00000000" w14:paraId="00000076">
      <w:pPr>
        <w:keepNext w:val="1"/>
        <w:keepLines w:val="1"/>
        <w:pBdr>
          <w:top w:space="0" w:sz="0" w:val="nil"/>
          <w:left w:space="0" w:sz="0" w:val="nil"/>
          <w:bottom w:space="0" w:sz="0" w:val="nil"/>
          <w:right w:space="0" w:sz="0" w:val="nil"/>
          <w:between w:space="0" w:sz="0" w:val="nil"/>
        </w:pBdr>
        <w:spacing w:after="60" w:before="60" w:lineRule="auto"/>
        <w:rPr>
          <w:color w:val="007fa1"/>
          <w:sz w:val="32"/>
          <w:szCs w:val="32"/>
        </w:rPr>
      </w:pPr>
      <w:r w:rsidDel="00000000" w:rsidR="00000000" w:rsidRPr="00000000">
        <w:rPr>
          <w:rtl w:val="0"/>
        </w:rPr>
      </w:r>
    </w:p>
    <w:p w:rsidR="00000000" w:rsidDel="00000000" w:rsidP="00000000" w:rsidRDefault="00000000" w:rsidRPr="00000000" w14:paraId="00000077">
      <w:pPr>
        <w:keepNext w:val="1"/>
        <w:keepLines w:val="1"/>
        <w:pBdr>
          <w:top w:space="0" w:sz="0" w:val="nil"/>
          <w:left w:space="0" w:sz="0" w:val="nil"/>
          <w:bottom w:space="0" w:sz="0" w:val="nil"/>
          <w:right w:space="0" w:sz="0" w:val="nil"/>
          <w:between w:space="0" w:sz="0" w:val="nil"/>
        </w:pBdr>
        <w:spacing w:after="60" w:before="60" w:lineRule="auto"/>
        <w:rPr>
          <w:color w:val="007fa1"/>
          <w:sz w:val="32"/>
          <w:szCs w:val="32"/>
        </w:rPr>
      </w:pPr>
      <w:r w:rsidDel="00000000" w:rsidR="00000000" w:rsidRPr="00000000">
        <w:rPr>
          <w:rtl w:val="0"/>
        </w:rPr>
      </w:r>
    </w:p>
    <w:p w:rsidR="00000000" w:rsidDel="00000000" w:rsidP="00000000" w:rsidRDefault="00000000" w:rsidRPr="00000000" w14:paraId="00000078">
      <w:pPr>
        <w:keepNext w:val="1"/>
        <w:keepLines w:val="1"/>
        <w:pBdr>
          <w:top w:space="0" w:sz="0" w:val="nil"/>
          <w:left w:space="0" w:sz="0" w:val="nil"/>
          <w:bottom w:space="0" w:sz="0" w:val="nil"/>
          <w:right w:space="0" w:sz="0" w:val="nil"/>
          <w:between w:space="0" w:sz="0" w:val="nil"/>
        </w:pBdr>
        <w:spacing w:after="60" w:before="60" w:lineRule="auto"/>
        <w:rPr>
          <w:color w:val="007fa1"/>
          <w:sz w:val="32"/>
          <w:szCs w:val="32"/>
        </w:rPr>
      </w:pPr>
      <w:r w:rsidDel="00000000" w:rsidR="00000000" w:rsidRPr="00000000">
        <w:rPr>
          <w:rtl w:val="0"/>
        </w:rPr>
      </w:r>
    </w:p>
    <w:p w:rsidR="00000000" w:rsidDel="00000000" w:rsidP="00000000" w:rsidRDefault="00000000" w:rsidRPr="00000000" w14:paraId="00000079">
      <w:pPr>
        <w:keepNext w:val="1"/>
        <w:keepLines w:val="1"/>
        <w:pBdr>
          <w:top w:space="0" w:sz="0" w:val="nil"/>
          <w:left w:space="0" w:sz="0" w:val="nil"/>
          <w:bottom w:space="0" w:sz="0" w:val="nil"/>
          <w:right w:space="0" w:sz="0" w:val="nil"/>
          <w:between w:space="0" w:sz="0" w:val="nil"/>
        </w:pBdr>
        <w:spacing w:after="60" w:before="60" w:lineRule="auto"/>
        <w:rPr>
          <w:color w:val="007fa1"/>
          <w:sz w:val="32"/>
          <w:szCs w:val="32"/>
        </w:rPr>
      </w:pPr>
      <w:r w:rsidDel="00000000" w:rsidR="00000000" w:rsidRPr="00000000">
        <w:rPr>
          <w:rtl w:val="0"/>
        </w:rPr>
      </w:r>
    </w:p>
    <w:p w:rsidR="00000000" w:rsidDel="00000000" w:rsidP="00000000" w:rsidRDefault="00000000" w:rsidRPr="00000000" w14:paraId="0000007A">
      <w:pPr>
        <w:keepNext w:val="1"/>
        <w:keepLines w:val="1"/>
        <w:pBdr>
          <w:top w:space="0" w:sz="0" w:val="nil"/>
          <w:left w:space="0" w:sz="0" w:val="nil"/>
          <w:bottom w:space="0" w:sz="0" w:val="nil"/>
          <w:right w:space="0" w:sz="0" w:val="nil"/>
          <w:between w:space="0" w:sz="0" w:val="nil"/>
        </w:pBdr>
        <w:spacing w:after="60" w:before="60" w:lineRule="auto"/>
        <w:rPr>
          <w:color w:val="007fa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7B">
      <w:pPr>
        <w:keepNext w:val="1"/>
        <w:keepLines w:val="1"/>
        <w:pBdr>
          <w:top w:space="0" w:sz="0" w:val="nil"/>
          <w:left w:space="0" w:sz="0" w:val="nil"/>
          <w:bottom w:space="0" w:sz="0" w:val="nil"/>
          <w:right w:space="0" w:sz="0" w:val="nil"/>
          <w:between w:space="0" w:sz="0" w:val="nil"/>
        </w:pBdr>
        <w:spacing w:after="60" w:before="60" w:lineRule="auto"/>
        <w:rPr>
          <w:color w:val="007fa1"/>
          <w:sz w:val="32"/>
          <w:szCs w:val="32"/>
        </w:rPr>
      </w:pPr>
      <w:r w:rsidDel="00000000" w:rsidR="00000000" w:rsidRPr="00000000">
        <w:rPr>
          <w:color w:val="007fa1"/>
          <w:sz w:val="32"/>
          <w:szCs w:val="32"/>
          <w:rtl w:val="0"/>
        </w:rPr>
        <w:t xml:space="preserve">PROTECTION DE LA VIE PRIVÉE, SECURITE ET CONFIDENTIALITE DES DONNEES</w:t>
      </w:r>
    </w:p>
    <w:tbl>
      <w:tblPr>
        <w:tblStyle w:val="Table5"/>
        <w:tblW w:w="9062.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45"/>
        <w:gridCol w:w="709"/>
        <w:gridCol w:w="708"/>
        <w:tblGridChange w:id="0">
          <w:tblGrid>
            <w:gridCol w:w="7645"/>
            <w:gridCol w:w="709"/>
            <w:gridCol w:w="708"/>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spacing w:after="60" w:before="60" w:lineRule="auto"/>
              <w:rPr/>
            </w:pPr>
            <w:r w:rsidDel="00000000" w:rsidR="00000000" w:rsidRPr="00000000">
              <w:rPr>
                <w:rtl w:val="0"/>
              </w:rPr>
            </w:r>
          </w:p>
        </w:tc>
        <w:tc>
          <w:tcPr>
            <w:tcBorders>
              <w:top w:color="ffffff"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60" w:before="60" w:lineRule="auto"/>
              <w:jc w:val="center"/>
              <w:rPr>
                <w:b w:val="1"/>
                <w:color w:val="007fa1"/>
                <w:sz w:val="18"/>
                <w:szCs w:val="18"/>
              </w:rPr>
            </w:pPr>
            <w:r w:rsidDel="00000000" w:rsidR="00000000" w:rsidRPr="00000000">
              <w:rPr>
                <w:b w:val="1"/>
                <w:color w:val="007fa1"/>
                <w:sz w:val="18"/>
                <w:szCs w:val="18"/>
                <w:rtl w:val="0"/>
              </w:rPr>
              <w:t xml:space="preserve">OUI</w:t>
            </w:r>
          </w:p>
        </w:tc>
        <w:tc>
          <w:tcPr>
            <w:tcBorders>
              <w:top w:color="ffffff"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60" w:before="60" w:lineRule="auto"/>
              <w:jc w:val="center"/>
              <w:rPr>
                <w:b w:val="1"/>
                <w:color w:val="007fa1"/>
                <w:sz w:val="18"/>
                <w:szCs w:val="18"/>
              </w:rPr>
            </w:pPr>
            <w:r w:rsidDel="00000000" w:rsidR="00000000" w:rsidRPr="00000000">
              <w:rPr>
                <w:b w:val="1"/>
                <w:color w:val="007fa1"/>
                <w:sz w:val="18"/>
                <w:szCs w:val="18"/>
                <w:rtl w:val="0"/>
              </w:rPr>
              <w:t xml:space="preserve">NON</w:t>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spacing w:after="60" w:before="60" w:lineRule="auto"/>
              <w:jc w:val="both"/>
              <w:rPr>
                <w:sz w:val="22"/>
                <w:szCs w:val="22"/>
              </w:rPr>
            </w:pPr>
            <w:r w:rsidDel="00000000" w:rsidR="00000000" w:rsidRPr="00000000">
              <w:rPr>
                <w:sz w:val="22"/>
                <w:szCs w:val="22"/>
                <w:rtl w:val="0"/>
              </w:rPr>
              <w:t xml:space="preserve">La lettre d’information individuelle au patient, ou à défaut la note d’information collective, est jointe en annexe au dossier.</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widowControl w:val="0"/>
              <w:spacing w:after="60" w:before="60" w:lineRule="auto"/>
              <w:jc w:val="center"/>
              <w:rPr>
                <w:sz w:val="22"/>
                <w:szCs w:val="22"/>
              </w:rPr>
            </w:pPr>
            <w:r w:rsidDel="00000000" w:rsidR="00000000" w:rsidRPr="00000000">
              <w:rPr>
                <w:rtl w:val="0"/>
              </w:rPr>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spacing w:after="60" w:before="60" w:lineRule="auto"/>
              <w:jc w:val="both"/>
              <w:rPr>
                <w:sz w:val="22"/>
                <w:szCs w:val="22"/>
              </w:rPr>
            </w:pPr>
            <w:r w:rsidDel="00000000" w:rsidR="00000000" w:rsidRPr="00000000">
              <w:rPr>
                <w:sz w:val="22"/>
                <w:szCs w:val="22"/>
                <w:rtl w:val="0"/>
              </w:rPr>
              <w:t xml:space="preserve">En cas de demande de dérogation à l’information individuelle, une justification est apportée s’appuyant sur des arguments quantifiés démontrant le caractère disproportionné de procéder à une information individuelle. La proportion de patients qui recevront l’information collective, ainsi que le délai (e.g. en cas de publication sur le site internet, on peut estimer que X% des patients auront reçu l’information d’ici Y mois) sont estimés. Si possible, la note d’information remise au patient au moment de la collecte des données est jointe au dossier.</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60" w:before="60" w:lineRule="auto"/>
              <w:jc w:val="center"/>
              <w:rPr>
                <w:sz w:val="22"/>
                <w:szCs w:val="22"/>
              </w:rPr>
            </w:pPr>
            <w:r w:rsidDel="00000000" w:rsidR="00000000" w:rsidRPr="00000000">
              <w:rPr>
                <w:rtl w:val="0"/>
              </w:rPr>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spacing w:after="60" w:before="60" w:lineRule="auto"/>
              <w:jc w:val="both"/>
              <w:rPr>
                <w:sz w:val="22"/>
                <w:szCs w:val="22"/>
              </w:rPr>
            </w:pPr>
            <w:r w:rsidDel="00000000" w:rsidR="00000000" w:rsidRPr="00000000">
              <w:rPr>
                <w:sz w:val="22"/>
                <w:szCs w:val="22"/>
                <w:rtl w:val="0"/>
              </w:rPr>
              <w:t xml:space="preserve">La durée de conservation</w:t>
            </w:r>
            <w:r w:rsidDel="00000000" w:rsidR="00000000" w:rsidRPr="00000000">
              <w:rPr>
                <w:sz w:val="22"/>
                <w:szCs w:val="22"/>
                <w:vertAlign w:val="superscript"/>
              </w:rPr>
              <w:footnoteReference w:customMarkFollows="0" w:id="1"/>
            </w:r>
            <w:r w:rsidDel="00000000" w:rsidR="00000000" w:rsidRPr="00000000">
              <w:rPr>
                <w:sz w:val="22"/>
                <w:szCs w:val="22"/>
                <w:rtl w:val="0"/>
              </w:rPr>
              <w:t xml:space="preserve"> des données est indiquée (en nombre d’années).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60" w:before="60" w:lineRule="auto"/>
              <w:jc w:val="center"/>
              <w:rPr>
                <w:sz w:val="22"/>
                <w:szCs w:val="22"/>
              </w:rPr>
            </w:pPr>
            <w:r w:rsidDel="00000000" w:rsidR="00000000" w:rsidRPr="00000000">
              <w:rPr>
                <w:rtl w:val="0"/>
              </w:rPr>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spacing w:after="60" w:before="60" w:lineRule="auto"/>
              <w:jc w:val="both"/>
              <w:rPr>
                <w:sz w:val="22"/>
                <w:szCs w:val="22"/>
              </w:rPr>
            </w:pPr>
            <w:r w:rsidDel="00000000" w:rsidR="00000000" w:rsidRPr="00000000">
              <w:rPr>
                <w:sz w:val="22"/>
                <w:szCs w:val="22"/>
                <w:rtl w:val="0"/>
              </w:rPr>
              <w:t xml:space="preserve">Le lieu où seront hébergées les données nécessaires à l’étude est indiqué.</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60" w:before="60" w:lineRule="auto"/>
              <w:jc w:val="center"/>
              <w:rPr>
                <w:sz w:val="22"/>
                <w:szCs w:val="22"/>
              </w:rPr>
            </w:pPr>
            <w:r w:rsidDel="00000000" w:rsidR="00000000" w:rsidRPr="00000000">
              <w:rPr>
                <w:rtl w:val="0"/>
              </w:rPr>
            </w:r>
          </w:p>
        </w:tc>
      </w:tr>
      <w:t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spacing w:after="60" w:before="60" w:lineRule="auto"/>
              <w:jc w:val="both"/>
              <w:rPr>
                <w:sz w:val="22"/>
                <w:szCs w:val="22"/>
              </w:rPr>
            </w:pPr>
            <w:r w:rsidDel="00000000" w:rsidR="00000000" w:rsidRPr="00000000">
              <w:rPr>
                <w:sz w:val="22"/>
                <w:szCs w:val="22"/>
                <w:rtl w:val="0"/>
              </w:rPr>
              <w:t xml:space="preserve">La circulation des données, incluant en particulier les étapes éventuelles d’appariement des différentes bases de données et les différents flux de données entre acteurs, est décrite de façon à pouvoir suivre le cheminement des données depuis la base source jusqu’à l’espace d’analyse en étant extérieur au projet.</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60" w:before="60" w:lineRule="auto"/>
              <w:jc w:val="center"/>
              <w:rPr>
                <w:sz w:val="22"/>
                <w:szCs w:val="22"/>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widowControl w:val="0"/>
              <w:spacing w:after="60" w:before="60" w:lineRule="auto"/>
              <w:jc w:val="center"/>
              <w:rPr>
                <w:sz w:val="22"/>
                <w:szCs w:val="22"/>
              </w:rPr>
            </w:pPr>
            <w:r w:rsidDel="00000000" w:rsidR="00000000" w:rsidRPr="00000000">
              <w:rPr>
                <w:rtl w:val="0"/>
              </w:rPr>
            </w:r>
          </w:p>
        </w:tc>
      </w:tr>
    </w:tbl>
    <w:p w:rsidR="00000000" w:rsidDel="00000000" w:rsidP="00000000" w:rsidRDefault="00000000" w:rsidRPr="00000000" w14:paraId="0000008E">
      <w:pPr>
        <w:keepNext w:val="1"/>
        <w:keepLines w:val="1"/>
        <w:pBdr>
          <w:top w:space="0" w:sz="0" w:val="nil"/>
          <w:left w:space="0" w:sz="0" w:val="nil"/>
          <w:bottom w:space="0" w:sz="0" w:val="nil"/>
          <w:right w:space="0" w:sz="0" w:val="nil"/>
          <w:between w:space="0" w:sz="0" w:val="nil"/>
        </w:pBdr>
        <w:spacing w:after="60" w:before="60" w:lineRule="auto"/>
        <w:rPr>
          <w:color w:val="2f5496"/>
          <w:sz w:val="22"/>
          <w:szCs w:val="22"/>
        </w:rPr>
      </w:pPr>
      <w:r w:rsidDel="00000000" w:rsidR="00000000" w:rsidRPr="00000000">
        <w:rPr>
          <w:rtl w:val="0"/>
        </w:rPr>
      </w:r>
    </w:p>
    <w:p w:rsidR="00000000" w:rsidDel="00000000" w:rsidP="00000000" w:rsidRDefault="00000000" w:rsidRPr="00000000" w14:paraId="0000008F">
      <w:pPr>
        <w:spacing w:after="60" w:before="60" w:lineRule="auto"/>
        <w:rPr>
          <w:color w:val="007fa1"/>
          <w:sz w:val="22"/>
          <w:szCs w:val="22"/>
        </w:rPr>
      </w:pPr>
      <w:r w:rsidDel="00000000" w:rsidR="00000000" w:rsidRPr="00000000">
        <w:rPr>
          <w:b w:val="1"/>
          <w:color w:val="007fa1"/>
          <w:sz w:val="32"/>
          <w:szCs w:val="32"/>
          <w:rtl w:val="0"/>
        </w:rPr>
        <w:t xml:space="preserve">Besoin d’aide pour aller plus loin ?</w:t>
      </w:r>
      <w:r w:rsidDel="00000000" w:rsidR="00000000" w:rsidRPr="00000000">
        <w:rPr>
          <w:rtl w:val="0"/>
        </w:rPr>
      </w:r>
    </w:p>
    <w:p w:rsidR="00000000" w:rsidDel="00000000" w:rsidP="00000000" w:rsidRDefault="00000000" w:rsidRPr="00000000" w14:paraId="00000090">
      <w:pPr>
        <w:widowControl w:val="0"/>
        <w:spacing w:after="60" w:before="60" w:lineRule="auto"/>
        <w:jc w:val="both"/>
        <w:rPr>
          <w:color w:val="322c2f"/>
          <w:sz w:val="22"/>
          <w:szCs w:val="22"/>
        </w:rPr>
      </w:pPr>
      <w:r w:rsidDel="00000000" w:rsidR="00000000" w:rsidRPr="00000000">
        <w:rPr>
          <w:rtl w:val="0"/>
        </w:rPr>
      </w:r>
    </w:p>
    <w:p w:rsidR="00000000" w:rsidDel="00000000" w:rsidP="00000000" w:rsidRDefault="00000000" w:rsidRPr="00000000" w14:paraId="00000091">
      <w:pPr>
        <w:widowControl w:val="0"/>
        <w:spacing w:after="60" w:before="60" w:lineRule="auto"/>
        <w:jc w:val="both"/>
        <w:rPr>
          <w:color w:val="322c2f"/>
          <w:sz w:val="22"/>
          <w:szCs w:val="22"/>
        </w:rPr>
      </w:pPr>
      <w:r w:rsidDel="00000000" w:rsidR="00000000" w:rsidRPr="00000000">
        <w:rPr>
          <w:color w:val="322c2f"/>
          <w:sz w:val="22"/>
          <w:szCs w:val="22"/>
          <w:rtl w:val="0"/>
        </w:rPr>
        <w:t xml:space="preserve">A toutes les étapes de ma démarche, je peux :</w:t>
      </w:r>
    </w:p>
    <w:p w:rsidR="00000000" w:rsidDel="00000000" w:rsidP="00000000" w:rsidRDefault="00000000" w:rsidRPr="00000000" w14:paraId="00000092">
      <w:pPr>
        <w:widowControl w:val="0"/>
        <w:numPr>
          <w:ilvl w:val="0"/>
          <w:numId w:val="1"/>
        </w:numPr>
        <w:spacing w:after="60" w:before="60" w:lineRule="auto"/>
        <w:ind w:left="425" w:hanging="360"/>
        <w:rPr/>
      </w:pPr>
      <w:r w:rsidDel="00000000" w:rsidR="00000000" w:rsidRPr="00000000">
        <w:rPr>
          <w:color w:val="322c2f"/>
          <w:sz w:val="22"/>
          <w:szCs w:val="22"/>
          <w:rtl w:val="0"/>
        </w:rPr>
        <w:t xml:space="preserve">Consulter le</w:t>
      </w:r>
      <w:hyperlink r:id="rId10">
        <w:r w:rsidDel="00000000" w:rsidR="00000000" w:rsidRPr="00000000">
          <w:rPr>
            <w:color w:val="1155cc"/>
            <w:sz w:val="22"/>
            <w:szCs w:val="22"/>
            <w:u w:val="single"/>
            <w:rtl w:val="0"/>
          </w:rPr>
          <w:t xml:space="preserve"> répertoire des projets</w:t>
        </w:r>
      </w:hyperlink>
      <w:r w:rsidDel="00000000" w:rsidR="00000000" w:rsidRPr="00000000">
        <w:rPr>
          <w:color w:val="322c2f"/>
          <w:sz w:val="22"/>
          <w:szCs w:val="22"/>
          <w:rtl w:val="0"/>
        </w:rPr>
        <w:t xml:space="preserve"> pour avoir une idée de ce qui est réalisé à partir des données</w:t>
      </w:r>
      <w:r w:rsidDel="00000000" w:rsidR="00000000" w:rsidRPr="00000000">
        <w:rPr>
          <w:rtl w:val="0"/>
        </w:rPr>
      </w:r>
    </w:p>
    <w:p w:rsidR="00000000" w:rsidDel="00000000" w:rsidP="00000000" w:rsidRDefault="00000000" w:rsidRPr="00000000" w14:paraId="00000093">
      <w:pPr>
        <w:widowControl w:val="0"/>
        <w:numPr>
          <w:ilvl w:val="0"/>
          <w:numId w:val="1"/>
        </w:numPr>
        <w:spacing w:after="60" w:before="60" w:lineRule="auto"/>
        <w:ind w:left="425" w:hanging="360"/>
        <w:rPr/>
      </w:pPr>
      <w:r w:rsidDel="00000000" w:rsidR="00000000" w:rsidRPr="00000000">
        <w:rPr>
          <w:color w:val="322c2f"/>
          <w:sz w:val="22"/>
          <w:szCs w:val="22"/>
          <w:rtl w:val="0"/>
        </w:rPr>
        <w:t xml:space="preserve">Faite appel à la </w:t>
      </w:r>
      <w:hyperlink r:id="rId11">
        <w:r w:rsidDel="00000000" w:rsidR="00000000" w:rsidRPr="00000000">
          <w:rPr>
            <w:color w:val="1155cc"/>
            <w:sz w:val="22"/>
            <w:szCs w:val="22"/>
            <w:u w:val="single"/>
            <w:rtl w:val="0"/>
          </w:rPr>
          <w:t xml:space="preserve">communauté </w:t>
        </w:r>
      </w:hyperlink>
      <w:r w:rsidDel="00000000" w:rsidR="00000000" w:rsidRPr="00000000">
        <w:rPr>
          <w:rtl w:val="0"/>
        </w:rPr>
      </w:r>
    </w:p>
    <w:p w:rsidR="00000000" w:rsidDel="00000000" w:rsidP="00000000" w:rsidRDefault="00000000" w:rsidRPr="00000000" w14:paraId="00000094">
      <w:pPr>
        <w:widowControl w:val="0"/>
        <w:numPr>
          <w:ilvl w:val="0"/>
          <w:numId w:val="1"/>
        </w:numPr>
        <w:spacing w:after="60" w:before="60" w:lineRule="auto"/>
        <w:ind w:left="425" w:hanging="360"/>
        <w:rPr/>
      </w:pPr>
      <w:r w:rsidDel="00000000" w:rsidR="00000000" w:rsidRPr="00000000">
        <w:rPr>
          <w:color w:val="322c2f"/>
          <w:sz w:val="22"/>
          <w:szCs w:val="22"/>
          <w:rtl w:val="0"/>
        </w:rPr>
        <w:t xml:space="preserve">Participer aux </w:t>
      </w:r>
      <w:hyperlink r:id="rId12">
        <w:r w:rsidDel="00000000" w:rsidR="00000000" w:rsidRPr="00000000">
          <w:rPr>
            <w:color w:val="0563c1"/>
            <w:sz w:val="22"/>
            <w:szCs w:val="22"/>
            <w:u w:val="single"/>
            <w:rtl w:val="0"/>
          </w:rPr>
          <w:t xml:space="preserve">matinales organisées</w:t>
        </w:r>
      </w:hyperlink>
      <w:r w:rsidDel="00000000" w:rsidR="00000000" w:rsidRPr="00000000">
        <w:rPr>
          <w:color w:val="322c2f"/>
          <w:sz w:val="22"/>
          <w:szCs w:val="22"/>
          <w:rtl w:val="0"/>
        </w:rPr>
        <w:t xml:space="preserve"> en collaboration avec la CNAM pour avoir un premier niveau d'information sur le SNDS historique et aux </w:t>
      </w:r>
      <w:hyperlink r:id="rId13">
        <w:r w:rsidDel="00000000" w:rsidR="00000000" w:rsidRPr="00000000">
          <w:rPr>
            <w:color w:val="0563c1"/>
            <w:sz w:val="22"/>
            <w:szCs w:val="22"/>
            <w:u w:val="single"/>
            <w:rtl w:val="0"/>
          </w:rPr>
          <w:t xml:space="preserve">meet-up</w:t>
        </w:r>
      </w:hyperlink>
      <w:r w:rsidDel="00000000" w:rsidR="00000000" w:rsidRPr="00000000">
        <w:rPr>
          <w:color w:val="322c2f"/>
          <w:sz w:val="22"/>
          <w:szCs w:val="22"/>
          <w:rtl w:val="0"/>
        </w:rPr>
        <w:t xml:space="preserve"> pour échanger avec tout type de porteurs de projet</w:t>
      </w:r>
      <w:r w:rsidDel="00000000" w:rsidR="00000000" w:rsidRPr="00000000">
        <w:rPr>
          <w:rtl w:val="0"/>
        </w:rPr>
      </w:r>
    </w:p>
    <w:p w:rsidR="00000000" w:rsidDel="00000000" w:rsidP="00000000" w:rsidRDefault="00000000" w:rsidRPr="00000000" w14:paraId="00000095">
      <w:pPr>
        <w:widowControl w:val="0"/>
        <w:numPr>
          <w:ilvl w:val="0"/>
          <w:numId w:val="1"/>
        </w:numPr>
        <w:spacing w:after="60" w:before="60" w:lineRule="auto"/>
        <w:ind w:left="425" w:hanging="360"/>
        <w:rPr/>
      </w:pPr>
      <w:r w:rsidDel="00000000" w:rsidR="00000000" w:rsidRPr="00000000">
        <w:rPr>
          <w:color w:val="322c2f"/>
          <w:sz w:val="22"/>
          <w:szCs w:val="22"/>
          <w:rtl w:val="0"/>
        </w:rPr>
        <w:t xml:space="preserve">Me référer à la </w:t>
      </w:r>
      <w:hyperlink r:id="rId14">
        <w:r w:rsidDel="00000000" w:rsidR="00000000" w:rsidRPr="00000000">
          <w:rPr>
            <w:color w:val="0563c1"/>
            <w:sz w:val="22"/>
            <w:szCs w:val="22"/>
            <w:u w:val="single"/>
            <w:rtl w:val="0"/>
          </w:rPr>
          <w:t xml:space="preserve">documentation collaborative</w:t>
        </w:r>
      </w:hyperlink>
      <w:r w:rsidDel="00000000" w:rsidR="00000000" w:rsidRPr="00000000">
        <w:rPr>
          <w:color w:val="322c2f"/>
          <w:sz w:val="22"/>
          <w:szCs w:val="22"/>
          <w:rtl w:val="0"/>
        </w:rPr>
        <w:t xml:space="preserve"> ou utiliser un des programmes partagés par la communauté</w:t>
      </w:r>
      <w:r w:rsidDel="00000000" w:rsidR="00000000" w:rsidRPr="00000000">
        <w:rPr>
          <w:rtl w:val="0"/>
        </w:rPr>
      </w:r>
    </w:p>
    <w:p w:rsidR="00000000" w:rsidDel="00000000" w:rsidP="00000000" w:rsidRDefault="00000000" w:rsidRPr="00000000" w14:paraId="00000096">
      <w:pPr>
        <w:widowControl w:val="0"/>
        <w:numPr>
          <w:ilvl w:val="0"/>
          <w:numId w:val="1"/>
        </w:numPr>
        <w:spacing w:after="60" w:before="60" w:lineRule="auto"/>
        <w:ind w:left="425" w:hanging="360"/>
        <w:rPr/>
      </w:pPr>
      <w:r w:rsidDel="00000000" w:rsidR="00000000" w:rsidRPr="00000000">
        <w:rPr>
          <w:color w:val="322c2f"/>
          <w:sz w:val="22"/>
          <w:szCs w:val="22"/>
          <w:rtl w:val="0"/>
        </w:rPr>
        <w:t xml:space="preserve">Consulter le </w:t>
      </w:r>
      <w:hyperlink r:id="rId15">
        <w:r w:rsidDel="00000000" w:rsidR="00000000" w:rsidRPr="00000000">
          <w:rPr>
            <w:color w:val="0563c1"/>
            <w:sz w:val="22"/>
            <w:szCs w:val="22"/>
            <w:u w:val="single"/>
            <w:rtl w:val="0"/>
          </w:rPr>
          <w:t xml:space="preserve">starter kit </w:t>
        </w:r>
      </w:hyperlink>
      <w:r w:rsidDel="00000000" w:rsidR="00000000" w:rsidRPr="00000000">
        <w:rPr>
          <w:color w:val="322c2f"/>
          <w:sz w:val="22"/>
          <w:szCs w:val="22"/>
          <w:rtl w:val="0"/>
        </w:rPr>
        <w:t xml:space="preserve">présent sur le site du Health Data Hub</w:t>
      </w:r>
      <w:r w:rsidDel="00000000" w:rsidR="00000000" w:rsidRPr="00000000">
        <w:rPr>
          <w:rtl w:val="0"/>
        </w:rPr>
      </w:r>
    </w:p>
    <w:p w:rsidR="00000000" w:rsidDel="00000000" w:rsidP="00000000" w:rsidRDefault="00000000" w:rsidRPr="00000000" w14:paraId="00000097">
      <w:pPr>
        <w:widowControl w:val="0"/>
        <w:numPr>
          <w:ilvl w:val="0"/>
          <w:numId w:val="1"/>
        </w:numPr>
        <w:spacing w:after="60" w:before="60" w:lineRule="auto"/>
        <w:ind w:left="425" w:hanging="360"/>
        <w:rPr/>
      </w:pPr>
      <w:r w:rsidDel="00000000" w:rsidR="00000000" w:rsidRPr="00000000">
        <w:rPr>
          <w:sz w:val="22"/>
          <w:szCs w:val="22"/>
          <w:rtl w:val="0"/>
        </w:rPr>
        <w:t xml:space="preserve">Contacter le </w:t>
      </w:r>
      <w:hyperlink r:id="rId16">
        <w:r w:rsidDel="00000000" w:rsidR="00000000" w:rsidRPr="00000000">
          <w:rPr>
            <w:color w:val="1155cc"/>
            <w:sz w:val="22"/>
            <w:szCs w:val="22"/>
            <w:u w:val="single"/>
            <w:rtl w:val="0"/>
          </w:rPr>
          <w:t xml:space="preserve">HDH</w:t>
        </w:r>
      </w:hyperlink>
      <w:r w:rsidDel="00000000" w:rsidR="00000000" w:rsidRPr="00000000">
        <w:rPr>
          <w:rtl w:val="0"/>
        </w:rPr>
      </w:r>
    </w:p>
    <w:sectPr>
      <w:headerReference r:id="rId17" w:type="default"/>
      <w:footerReference r:id="rId18" w:type="default"/>
      <w:pgSz w:h="16840" w:w="11900" w:orient="portrait"/>
      <w:pgMar w:bottom="1417" w:top="1700"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76" w:lineRule="auto"/>
      <w:rPr/>
    </w:pPr>
    <w:r w:rsidDel="00000000" w:rsidR="00000000" w:rsidRPr="00000000">
      <w:rPr>
        <w:color w:val="000000"/>
      </w:rPr>
      <w:drawing>
        <wp:inline distB="0" distT="0" distL="0" distR="0">
          <wp:extent cx="1600200" cy="361950"/>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00200" cy="361950"/>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8">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 durée d’accès correspond à la durée nécessaire pour réaliser l’étude. Concrètement, il s’agit de la période pendant laquelle les données seront à la disposition du porteur de projet. Cette durée est différente de la durée de conservation des données.</w:t>
      </w:r>
    </w:p>
  </w:footnote>
  <w:footnote w:id="1">
    <w:p w:rsidR="00000000" w:rsidDel="00000000" w:rsidP="00000000" w:rsidRDefault="00000000" w:rsidRPr="00000000" w14:paraId="00000099">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 durée de conservation intervient une fois l’objectif de traitement des données atteint. Les données ne sont alors plus consultables par le porteur de projet mais elles sont conservées par l’hébergeur de données. Il s’agit généralement du délai de conservation des données après publication des résultats d’une étude. </w:t>
      </w:r>
    </w:p>
    <w:p w:rsidR="00000000" w:rsidDel="00000000" w:rsidP="00000000" w:rsidRDefault="00000000" w:rsidRPr="00000000" w14:paraId="0000009A">
      <w:pPr>
        <w:jc w:val="both"/>
        <w:rPr>
          <w:sz w:val="20"/>
          <w:szCs w:val="20"/>
        </w:rPr>
      </w:pPr>
      <w:r w:rsidDel="00000000" w:rsidR="00000000" w:rsidRPr="00000000">
        <w:rPr>
          <w:sz w:val="20"/>
          <w:szCs w:val="20"/>
          <w:rtl w:val="0"/>
        </w:rPr>
        <w:t xml:space="preserve">La durée de conservation s’ajoute à la durée d’accès aux données.</w:t>
      </w:r>
    </w:p>
    <w:p w:rsidR="00000000" w:rsidDel="00000000" w:rsidP="00000000" w:rsidRDefault="00000000" w:rsidRPr="00000000" w14:paraId="0000009B">
      <w:pPr>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rPr>
        <w:i w:val="1"/>
        <w:sz w:val="18"/>
        <w:szCs w:val="18"/>
      </w:rPr>
    </w:pPr>
    <w:r w:rsidDel="00000000" w:rsidR="00000000" w:rsidRPr="00000000">
      <w:rPr>
        <w:i w:val="1"/>
        <w:sz w:val="18"/>
        <w:szCs w:val="18"/>
        <w:rtl w:val="0"/>
      </w:rPr>
      <w:t xml:space="preserve">Checklist des éléments clés du protocole scientifique à destination des porteurs de projet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Titre1">
    <w:name w:val="heading 1"/>
    <w:basedOn w:val="Normal"/>
    <w:next w:val="Normal"/>
    <w:link w:val="Titre1Car"/>
    <w:uiPriority w:val="9"/>
    <w:qFormat w:val="1"/>
    <w:rsid w:val="00B47402"/>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link w:val="TitreCar"/>
    <w:uiPriority w:val="10"/>
    <w:qFormat w:val="1"/>
    <w:rsid w:val="00B47402"/>
    <w:pPr>
      <w:contextualSpacing w:val="1"/>
    </w:pPr>
    <w:rPr>
      <w:rFonts w:asciiTheme="majorHAnsi" w:cstheme="majorBidi" w:eastAsiaTheme="majorEastAsia" w:hAnsiTheme="majorHAnsi"/>
      <w:spacing w:val="-10"/>
      <w:kern w:val="28"/>
      <w:sz w:val="56"/>
      <w:szCs w:val="56"/>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TitreCar" w:customStyle="1">
    <w:name w:val="Titre Car"/>
    <w:basedOn w:val="Policepardfaut"/>
    <w:link w:val="Titre"/>
    <w:uiPriority w:val="10"/>
    <w:rsid w:val="00B47402"/>
    <w:rPr>
      <w:rFonts w:asciiTheme="majorHAnsi" w:cstheme="majorBidi" w:eastAsiaTheme="majorEastAsia" w:hAnsiTheme="majorHAnsi"/>
      <w:spacing w:val="-10"/>
      <w:kern w:val="28"/>
      <w:sz w:val="56"/>
      <w:szCs w:val="56"/>
    </w:rPr>
  </w:style>
  <w:style w:type="character" w:styleId="Titre1Car" w:customStyle="1">
    <w:name w:val="Titre 1 Car"/>
    <w:basedOn w:val="Policepardfaut"/>
    <w:link w:val="Titre1"/>
    <w:uiPriority w:val="9"/>
    <w:rsid w:val="00B47402"/>
    <w:rPr>
      <w:rFonts w:asciiTheme="majorHAnsi" w:cstheme="majorBidi" w:eastAsiaTheme="majorEastAsia" w:hAnsiTheme="majorHAnsi"/>
      <w:color w:val="2f5496" w:themeColor="accent1" w:themeShade="0000BF"/>
      <w:sz w:val="32"/>
      <w:szCs w:val="32"/>
    </w:rPr>
  </w:style>
  <w:style w:type="paragraph" w:styleId="Paragraphedeliste">
    <w:name w:val="List Paragraph"/>
    <w:basedOn w:val="Normal"/>
    <w:uiPriority w:val="34"/>
    <w:qFormat w:val="1"/>
    <w:rsid w:val="00B47402"/>
    <w:pPr>
      <w:ind w:left="720"/>
      <w:contextualSpacing w:val="1"/>
    </w:p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auNormal"/>
    <w:rPr>
      <w:color w:val="000000"/>
    </w:rPr>
    <w:tblPr>
      <w:tblStyleRowBandSize w:val="1"/>
      <w:tblStyleColBandSize w:val="1"/>
      <w:tblCellMar>
        <w:top w:w="100.0" w:type="dxa"/>
        <w:left w:w="100.0" w:type="dxa"/>
        <w:bottom w:w="100.0" w:type="dxa"/>
        <w:right w:w="100.0" w:type="dxa"/>
      </w:tblCellMar>
    </w:tblPr>
  </w:style>
  <w:style w:type="table" w:styleId="a0" w:customStyle="1">
    <w:basedOn w:val="TableauNormal"/>
    <w:rPr>
      <w:color w:val="000000"/>
    </w:rPr>
    <w:tblPr>
      <w:tblStyleRowBandSize w:val="1"/>
      <w:tblStyleColBandSize w:val="1"/>
      <w:tblCellMar>
        <w:top w:w="100.0" w:type="dxa"/>
        <w:left w:w="100.0" w:type="dxa"/>
        <w:bottom w:w="100.0" w:type="dxa"/>
        <w:right w:w="100.0" w:type="dxa"/>
      </w:tblCellMar>
    </w:tblPr>
  </w:style>
  <w:style w:type="table" w:styleId="a1" w:customStyle="1">
    <w:basedOn w:val="TableauNormal"/>
    <w:rPr>
      <w:color w:val="000000"/>
    </w:rPr>
    <w:tblPr>
      <w:tblStyleRowBandSize w:val="1"/>
      <w:tblStyleColBandSize w:val="1"/>
      <w:tblCellMar>
        <w:top w:w="100.0" w:type="dxa"/>
        <w:left w:w="100.0" w:type="dxa"/>
        <w:bottom w:w="100.0" w:type="dxa"/>
        <w:right w:w="100.0" w:type="dxa"/>
      </w:tblCellMar>
    </w:tblPr>
  </w:style>
  <w:style w:type="table" w:styleId="a2" w:customStyle="1">
    <w:basedOn w:val="TableauNormal"/>
    <w:tblPr>
      <w:tblStyleRowBandSize w:val="1"/>
      <w:tblStyleColBandSize w:val="1"/>
      <w:tblCellMar>
        <w:left w:w="115.0" w:type="dxa"/>
        <w:right w:w="115.0" w:type="dxa"/>
      </w:tblCellMar>
    </w:tblPr>
  </w:style>
  <w:style w:type="table" w:styleId="a3" w:customStyle="1">
    <w:basedOn w:val="TableauNormal"/>
    <w:tblPr>
      <w:tblStyleRowBandSize w:val="1"/>
      <w:tblStyleColBandSize w:val="1"/>
      <w:tblCellMar>
        <w:left w:w="115.0" w:type="dxa"/>
        <w:right w:w="115.0" w:type="dxa"/>
      </w:tblCellMar>
    </w:tblPr>
  </w:style>
  <w:style w:type="table" w:styleId="a4" w:customStyle="1">
    <w:basedOn w:val="TableauNormal"/>
    <w:tblPr>
      <w:tblStyleRowBandSize w:val="1"/>
      <w:tblStyleColBandSize w:val="1"/>
      <w:tblCellMar>
        <w:left w:w="115.0" w:type="dxa"/>
        <w:right w:w="115.0" w:type="dxa"/>
      </w:tblCellMar>
    </w:tblPr>
  </w:style>
  <w:style w:type="table" w:styleId="a5" w:customStyle="1">
    <w:basedOn w:val="TableauNormal"/>
    <w:rPr>
      <w:color w:val="000000"/>
    </w:rPr>
    <w:tblPr>
      <w:tblStyleRowBandSize w:val="1"/>
      <w:tblStyleColBandSize w:val="1"/>
      <w:tblCellMar>
        <w:left w:w="115.0" w:type="dxa"/>
        <w:right w:w="115.0" w:type="dxa"/>
      </w:tblCellMar>
    </w:tblPr>
  </w:style>
  <w:style w:type="table" w:styleId="a6" w:customStyle="1">
    <w:basedOn w:val="TableauNormal"/>
    <w:rPr>
      <w:color w:val="000000"/>
    </w:rPr>
    <w:tblPr>
      <w:tblStyleRowBandSize w:val="1"/>
      <w:tblStyleColBandSize w:val="1"/>
      <w:tblCellMar>
        <w:left w:w="115.0" w:type="dxa"/>
        <w:right w:w="115.0" w:type="dxa"/>
      </w:tblCellMar>
    </w:tblPr>
  </w:style>
  <w:style w:type="table" w:styleId="a7" w:customStyle="1">
    <w:basedOn w:val="TableauNormal"/>
    <w:rPr>
      <w:color w:val="000000"/>
    </w:rPr>
    <w:tblPr>
      <w:tblStyleRowBandSize w:val="1"/>
      <w:tblStyleColBandSize w:val="1"/>
      <w:tblCellMar>
        <w:left w:w="115.0" w:type="dxa"/>
        <w:right w:w="115.0" w:type="dxa"/>
      </w:tblCellMar>
    </w:tblPr>
  </w:style>
  <w:style w:type="table" w:styleId="a8" w:customStyle="1">
    <w:basedOn w:val="TableauNormal"/>
    <w:rPr>
      <w:color w:val="000000"/>
    </w:rPr>
    <w:tblPr>
      <w:tblStyleRowBandSize w:val="1"/>
      <w:tblStyleColBandSize w:val="1"/>
      <w:tblCellMar>
        <w:left w:w="115.0" w:type="dxa"/>
        <w:right w:w="115.0" w:type="dxa"/>
      </w:tblCellMar>
    </w:tblPr>
  </w:style>
  <w:style w:type="table" w:styleId="a9" w:customStyle="1">
    <w:basedOn w:val="TableauNormal"/>
    <w:rPr>
      <w:color w:val="000000"/>
    </w:rPr>
    <w:tblPr>
      <w:tblStyleRowBandSize w:val="1"/>
      <w:tblStyleColBandSize w:val="1"/>
      <w:tblCellMar>
        <w:left w:w="115.0" w:type="dxa"/>
        <w:right w:w="115.0" w:type="dxa"/>
      </w:tblCellMar>
    </w:tblPr>
  </w:style>
  <w:style w:type="paragraph" w:styleId="Commentaire">
    <w:name w:val="annotation text"/>
    <w:basedOn w:val="Normal"/>
    <w:link w:val="CommentaireCar"/>
    <w:uiPriority w:val="99"/>
    <w:semiHidden w:val="1"/>
    <w:unhideWhenUsed w:val="1"/>
    <w:rPr>
      <w:sz w:val="20"/>
      <w:szCs w:val="20"/>
    </w:rPr>
  </w:style>
  <w:style w:type="character" w:styleId="CommentaireCar" w:customStyle="1">
    <w:name w:val="Commentaire Car"/>
    <w:basedOn w:val="Policepardfaut"/>
    <w:link w:val="Commentaire"/>
    <w:uiPriority w:val="99"/>
    <w:semiHidden w:val="1"/>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Textedebulles">
    <w:name w:val="Balloon Text"/>
    <w:basedOn w:val="Normal"/>
    <w:link w:val="TextedebullesCar"/>
    <w:uiPriority w:val="99"/>
    <w:semiHidden w:val="1"/>
    <w:unhideWhenUsed w:val="1"/>
    <w:rsid w:val="00115B62"/>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115B62"/>
    <w:rPr>
      <w:rFonts w:ascii="Segoe UI" w:cs="Segoe UI" w:hAnsi="Segoe UI"/>
      <w:sz w:val="18"/>
      <w:szCs w:val="18"/>
    </w:rPr>
  </w:style>
  <w:style w:type="paragraph" w:styleId="En-tte">
    <w:name w:val="header"/>
    <w:basedOn w:val="Normal"/>
    <w:link w:val="En-tteCar"/>
    <w:uiPriority w:val="99"/>
    <w:unhideWhenUsed w:val="1"/>
    <w:rsid w:val="00115B62"/>
    <w:pPr>
      <w:tabs>
        <w:tab w:val="center" w:pos="4513"/>
        <w:tab w:val="right" w:pos="9026"/>
      </w:tabs>
    </w:pPr>
  </w:style>
  <w:style w:type="character" w:styleId="En-tteCar" w:customStyle="1">
    <w:name w:val="En-tête Car"/>
    <w:basedOn w:val="Policepardfaut"/>
    <w:link w:val="En-tte"/>
    <w:uiPriority w:val="99"/>
    <w:rsid w:val="00115B62"/>
  </w:style>
  <w:style w:type="paragraph" w:styleId="Pieddepage">
    <w:name w:val="footer"/>
    <w:basedOn w:val="Normal"/>
    <w:link w:val="PieddepageCar"/>
    <w:uiPriority w:val="99"/>
    <w:unhideWhenUsed w:val="1"/>
    <w:rsid w:val="00115B62"/>
    <w:pPr>
      <w:tabs>
        <w:tab w:val="center" w:pos="4513"/>
        <w:tab w:val="right" w:pos="9026"/>
      </w:tabs>
    </w:pPr>
  </w:style>
  <w:style w:type="character" w:styleId="PieddepageCar" w:customStyle="1">
    <w:name w:val="Pied de page Car"/>
    <w:basedOn w:val="Policepardfaut"/>
    <w:link w:val="Pieddepage"/>
    <w:uiPriority w:val="99"/>
    <w:rsid w:val="00115B62"/>
  </w:style>
  <w:style w:type="table" w:styleId="aa" w:customStyle="1">
    <w:basedOn w:val="TableauNormal"/>
    <w:rPr>
      <w:color w:val="000000"/>
    </w:rPr>
    <w:tblPr>
      <w:tblStyleRowBandSize w:val="1"/>
      <w:tblStyleColBandSize w:val="1"/>
      <w:tblCellMar>
        <w:top w:w="100.0" w:type="dxa"/>
        <w:left w:w="115.0" w:type="dxa"/>
        <w:bottom w:w="100.0" w:type="dxa"/>
        <w:right w:w="115.0" w:type="dxa"/>
      </w:tblCellMar>
    </w:tblPr>
  </w:style>
  <w:style w:type="table" w:styleId="ab" w:customStyle="1">
    <w:basedOn w:val="TableauNormal"/>
    <w:rPr>
      <w:color w:val="000000"/>
    </w:rPr>
    <w:tblPr>
      <w:tblStyleRowBandSize w:val="1"/>
      <w:tblStyleColBandSize w:val="1"/>
      <w:tblCellMar>
        <w:top w:w="100.0" w:type="dxa"/>
        <w:left w:w="115.0" w:type="dxa"/>
        <w:bottom w:w="100.0" w:type="dxa"/>
        <w:right w:w="115.0" w:type="dxa"/>
      </w:tblCellMar>
    </w:tblPr>
  </w:style>
  <w:style w:type="table" w:styleId="ac" w:customStyle="1">
    <w:basedOn w:val="TableauNormal"/>
    <w:tblPr>
      <w:tblStyleRowBandSize w:val="1"/>
      <w:tblStyleColBandSize w:val="1"/>
      <w:tblCellMar>
        <w:top w:w="100.0" w:type="dxa"/>
        <w:left w:w="100.0" w:type="dxa"/>
        <w:bottom w:w="100.0" w:type="dxa"/>
        <w:right w:w="100.0" w:type="dxa"/>
      </w:tblCellMar>
    </w:tblPr>
  </w:style>
  <w:style w:type="table" w:styleId="ad" w:customStyle="1">
    <w:basedOn w:val="TableauNormal"/>
    <w:rPr>
      <w:color w:val="000000"/>
    </w:rPr>
    <w:tblPr>
      <w:tblStyleRowBandSize w:val="1"/>
      <w:tblStyleColBandSize w:val="1"/>
      <w:tblCellMar>
        <w:top w:w="100.0" w:type="dxa"/>
        <w:left w:w="115.0" w:type="dxa"/>
        <w:bottom w:w="100.0" w:type="dxa"/>
        <w:right w:w="115.0" w:type="dxa"/>
      </w:tblCellMar>
    </w:tblPr>
  </w:style>
  <w:style w:type="table" w:styleId="ae" w:customStyle="1">
    <w:basedOn w:val="TableauNormal"/>
    <w:rPr>
      <w:color w:val="000000"/>
    </w:rPr>
    <w:tblPr>
      <w:tblStyleRowBandSize w:val="1"/>
      <w:tblStyleColBandSize w:val="1"/>
      <w:tblCellMar>
        <w:top w:w="100.0" w:type="dxa"/>
        <w:left w:w="115.0" w:type="dxa"/>
        <w:bottom w:w="100.0" w:type="dxa"/>
        <w:right w:w="115.0" w:type="dxa"/>
      </w:tblCellMar>
    </w:tblPr>
  </w:style>
  <w:style w:type="table" w:styleId="af" w:customStyle="1">
    <w:basedOn w:val="TableauNormal"/>
    <w:rPr>
      <w:color w:val="000000"/>
    </w:rPr>
    <w:tblPr>
      <w:tblStyleRowBandSize w:val="1"/>
      <w:tblStyleColBandSize w:val="1"/>
      <w:tblCellMar>
        <w:top w:w="100.0" w:type="dxa"/>
        <w:left w:w="115.0" w:type="dxa"/>
        <w:bottom w:w="100.0" w:type="dxa"/>
        <w:right w:w="115.0" w:type="dxa"/>
      </w:tblCellMar>
    </w:tblPr>
  </w:style>
  <w:style w:type="table" w:styleId="af0" w:customStyle="1">
    <w:basedOn w:val="TableauNormal"/>
    <w:rPr>
      <w:color w:val="000000"/>
    </w:rPr>
    <w:tblPr>
      <w:tblStyleRowBandSize w:val="1"/>
      <w:tblStyleColBandSize w:val="1"/>
      <w:tblCellMar>
        <w:top w:w="100.0" w:type="dxa"/>
        <w:left w:w="115.0" w:type="dxa"/>
        <w:bottom w:w="100.0" w:type="dxa"/>
        <w:right w:w="115.0" w:type="dxa"/>
      </w:tblCellMar>
    </w:tblPr>
  </w:style>
  <w:style w:type="table" w:styleId="af1" w:customStyle="1">
    <w:basedOn w:val="TableauNormal"/>
    <w:rPr>
      <w:color w:val="000000"/>
    </w:rPr>
    <w:tblPr>
      <w:tblStyleRowBandSize w:val="1"/>
      <w:tblStyleColBandSize w:val="1"/>
      <w:tblCellMar>
        <w:top w:w="100.0" w:type="dxa"/>
        <w:left w:w="115.0" w:type="dxa"/>
        <w:bottom w:w="100.0" w:type="dxa"/>
        <w:right w:w="115.0" w:type="dxa"/>
      </w:tblCellMar>
    </w:tblPr>
  </w:style>
  <w:style w:type="table" w:styleId="af2" w:customStyle="1">
    <w:basedOn w:val="TableauNormal"/>
    <w:rPr>
      <w:color w:val="000000"/>
    </w:rPr>
    <w:tblPr>
      <w:tblStyleRowBandSize w:val="1"/>
      <w:tblStyleColBandSize w:val="1"/>
      <w:tblCellMar>
        <w:top w:w="100.0" w:type="dxa"/>
        <w:left w:w="115.0" w:type="dxa"/>
        <w:bottom w:w="100.0" w:type="dxa"/>
        <w:right w:w="115.0" w:type="dxa"/>
      </w:tblCellMar>
    </w:tblPr>
  </w:style>
  <w:style w:type="table" w:styleId="af3" w:customStyle="1">
    <w:basedOn w:val="TableauNormal"/>
    <w:rPr>
      <w:color w:val="000000"/>
    </w:rPr>
    <w:tblPr>
      <w:tblStyleRowBandSize w:val="1"/>
      <w:tblStyleColBandSize w:val="1"/>
      <w:tblCellMar>
        <w:top w:w="100.0" w:type="dxa"/>
        <w:left w:w="115.0" w:type="dxa"/>
        <w:bottom w:w="100.0" w:type="dxa"/>
        <w:right w:w="115.0" w:type="dxa"/>
      </w:tblCellMar>
    </w:tblPr>
  </w:style>
  <w:style w:type="table" w:styleId="af4" w:customStyle="1">
    <w:basedOn w:val="TableauNormal"/>
    <w:rPr>
      <w:color w:val="000000"/>
    </w:rPr>
    <w:tblPr>
      <w:tblStyleRowBandSize w:val="1"/>
      <w:tblStyleColBandSize w:val="1"/>
      <w:tblCellMar>
        <w:top w:w="100.0" w:type="dxa"/>
        <w:left w:w="115.0" w:type="dxa"/>
        <w:bottom w:w="100.0" w:type="dxa"/>
        <w:right w:w="115.0" w:type="dxa"/>
      </w:tblCellMar>
    </w:tblPr>
  </w:style>
  <w:style w:type="table" w:styleId="af5" w:customStyle="1">
    <w:basedOn w:val="TableauNormal"/>
    <w:rPr>
      <w:color w:val="000000"/>
    </w:rPr>
    <w:tblPr>
      <w:tblStyleRowBandSize w:val="1"/>
      <w:tblStyleColBandSize w:val="1"/>
      <w:tblCellMar>
        <w:top w:w="100.0" w:type="dxa"/>
        <w:left w:w="115.0" w:type="dxa"/>
        <w:bottom w:w="100.0" w:type="dxa"/>
        <w:right w:w="115.0" w:type="dxa"/>
      </w:tblCellMar>
    </w:tblPr>
  </w:style>
  <w:style w:type="table" w:styleId="af6" w:customStyle="1">
    <w:basedOn w:val="TableauNormal"/>
    <w:rPr>
      <w:color w:val="000000"/>
    </w:rPr>
    <w:tblPr>
      <w:tblStyleRowBandSize w:val="1"/>
      <w:tblStyleColBandSize w:val="1"/>
      <w:tblCellMar>
        <w:top w:w="100.0" w:type="dxa"/>
        <w:left w:w="115.0" w:type="dxa"/>
        <w:bottom w:w="100.0" w:type="dxa"/>
        <w:right w:w="115.0" w:type="dxa"/>
      </w:tblCellMar>
    </w:tblPr>
  </w:style>
  <w:style w:type="table" w:styleId="af7" w:customStyle="1">
    <w:basedOn w:val="TableauNormal"/>
    <w:rPr>
      <w:color w:val="000000"/>
    </w:rPr>
    <w:tblPr>
      <w:tblStyleRowBandSize w:val="1"/>
      <w:tblStyleColBandSize w:val="1"/>
      <w:tblCellMar>
        <w:top w:w="100.0" w:type="dxa"/>
        <w:left w:w="115.0" w:type="dxa"/>
        <w:bottom w:w="100.0" w:type="dxa"/>
        <w:right w:w="115.0" w:type="dxa"/>
      </w:tblCellMar>
    </w:tblPr>
  </w:style>
  <w:style w:type="table" w:styleId="af8" w:customStyle="1">
    <w:basedOn w:val="TableauNormal"/>
    <w:rPr>
      <w:color w:val="000000"/>
    </w:rPr>
    <w:tblPr>
      <w:tblStyleRowBandSize w:val="1"/>
      <w:tblStyleColBandSize w:val="1"/>
      <w:tblCellMar>
        <w:top w:w="100.0" w:type="dxa"/>
        <w:left w:w="115.0" w:type="dxa"/>
        <w:bottom w:w="100.0" w:type="dxa"/>
        <w:right w:w="115.0" w:type="dxa"/>
      </w:tblCellMar>
    </w:tblPr>
  </w:style>
  <w:style w:type="table" w:styleId="af9" w:customStyle="1">
    <w:basedOn w:val="TableauNormal"/>
    <w:rPr>
      <w:color w:val="000000"/>
    </w:rPr>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000000"/>
    </w:rPr>
    <w:tblPr>
      <w:tblStyleRowBandSize w:val="1"/>
      <w:tblStyleColBandSize w:val="1"/>
      <w:tblCellMar>
        <w:top w:w="100.0" w:type="dxa"/>
        <w:left w:w="115.0" w:type="dxa"/>
        <w:bottom w:w="100.0" w:type="dxa"/>
        <w:right w:w="115.0" w:type="dxa"/>
      </w:tblCellMar>
    </w:tblPr>
  </w:style>
  <w:style w:type="table" w:styleId="Table2">
    <w:basedOn w:val="TableNormal"/>
    <w:rPr>
      <w:color w:val="000000"/>
    </w:rPr>
    <w:tblPr>
      <w:tblStyleRowBandSize w:val="1"/>
      <w:tblStyleColBandSize w:val="1"/>
      <w:tblCellMar>
        <w:top w:w="100.0" w:type="dxa"/>
        <w:left w:w="115.0" w:type="dxa"/>
        <w:bottom w:w="100.0" w:type="dxa"/>
        <w:right w:w="115.0" w:type="dxa"/>
      </w:tblCellMar>
    </w:tblPr>
  </w:style>
  <w:style w:type="table" w:styleId="Table3">
    <w:basedOn w:val="TableNormal"/>
    <w:rPr>
      <w:color w:val="000000"/>
    </w:rPr>
    <w:tblPr>
      <w:tblStyleRowBandSize w:val="1"/>
      <w:tblStyleColBandSize w:val="1"/>
      <w:tblCellMar>
        <w:top w:w="100.0" w:type="dxa"/>
        <w:left w:w="115.0" w:type="dxa"/>
        <w:bottom w:w="100.0" w:type="dxa"/>
        <w:right w:w="115.0" w:type="dxa"/>
      </w:tblCellMar>
    </w:tblPr>
  </w:style>
  <w:style w:type="table" w:styleId="Table4">
    <w:basedOn w:val="TableNormal"/>
    <w:rPr>
      <w:color w:val="000000"/>
    </w:rPr>
    <w:tblPr>
      <w:tblStyleRowBandSize w:val="1"/>
      <w:tblStyleColBandSize w:val="1"/>
      <w:tblCellMar>
        <w:top w:w="100.0" w:type="dxa"/>
        <w:left w:w="115.0" w:type="dxa"/>
        <w:bottom w:w="100.0" w:type="dxa"/>
        <w:right w:w="115.0" w:type="dxa"/>
      </w:tblCellMar>
    </w:tblPr>
  </w:style>
  <w:style w:type="table" w:styleId="Table5">
    <w:basedOn w:val="TableNormal"/>
    <w:rPr>
      <w:color w:val="000000"/>
    </w:r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health-data-hub.fr/open-source" TargetMode="External"/><Relationship Id="rId10" Type="http://schemas.openxmlformats.org/officeDocument/2006/relationships/hyperlink" Target="https://www.health-data-hub.fr/projets" TargetMode="External"/><Relationship Id="rId13" Type="http://schemas.openxmlformats.org/officeDocument/2006/relationships/hyperlink" Target="https://www.meetup.com/fr-FR/Health-Data-Hub/" TargetMode="External"/><Relationship Id="rId12" Type="http://schemas.openxmlformats.org/officeDocument/2006/relationships/hyperlink" Target="https://www.meetup.com/fr-FR/Health-Data-H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health-data-hub.fr/cesrees" TargetMode="External"/><Relationship Id="rId15" Type="http://schemas.openxmlformats.org/officeDocument/2006/relationships/hyperlink" Target="https://www.health-data-hub.fr/starter-kit" TargetMode="External"/><Relationship Id="rId14" Type="http://schemas.openxmlformats.org/officeDocument/2006/relationships/hyperlink" Target="https://documentation-snds.health-data-hub.fr/" TargetMode="External"/><Relationship Id="rId17" Type="http://schemas.openxmlformats.org/officeDocument/2006/relationships/header" Target="header1.xml"/><Relationship Id="rId16" Type="http://schemas.openxmlformats.org/officeDocument/2006/relationships/hyperlink" Target="https://www.health-data-hub.fr/contact"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Np/VOX7BLuRAsdu5KRN1wRELiQ==">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2020-12-11T20:09:00Z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0x010100FDAA9F07A3B41246892D9ABCE4B145C7</vt:lpwstr>
  </property>
</Properties>
</file>