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before="320" w:line="240" w:lineRule="auto"/>
        <w:rPr>
          <w:rFonts w:ascii="Tahoma" w:cs="Tahoma" w:eastAsia="Tahoma" w:hAnsi="Tahoma"/>
          <w:b w:val="1"/>
          <w:color w:val="036287"/>
          <w:sz w:val="36"/>
          <w:szCs w:val="36"/>
        </w:rPr>
      </w:pPr>
      <w:bookmarkStart w:colFirst="0" w:colLast="0" w:name="_heading=h.30j0zll" w:id="0"/>
      <w:bookmarkEnd w:id="0"/>
      <w:r w:rsidDel="00000000" w:rsidR="00000000" w:rsidRPr="00000000">
        <w:rPr>
          <w:rFonts w:ascii="Tahoma" w:cs="Tahoma" w:eastAsia="Tahoma" w:hAnsi="Tahoma"/>
          <w:b w:val="1"/>
          <w:color w:val="036287"/>
          <w:sz w:val="36"/>
          <w:szCs w:val="36"/>
          <w:rtl w:val="0"/>
        </w:rPr>
        <w:t xml:space="preserve">Responsable des partenariats Senior (Chef de projet) H/F</w:t>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rPr>
          <w:rFonts w:ascii="Tahoma" w:cs="Tahoma" w:eastAsia="Tahoma" w:hAnsi="Tahoma"/>
          <w:b w:val="1"/>
          <w:color w:val="007fa1"/>
          <w:sz w:val="28"/>
          <w:szCs w:val="28"/>
        </w:rPr>
      </w:pPr>
      <w:bookmarkStart w:colFirst="0" w:colLast="0" w:name="_heading=h.1fob9te" w:id="1"/>
      <w:bookmarkEnd w:id="1"/>
      <w:r w:rsidDel="00000000" w:rsidR="00000000" w:rsidRPr="00000000">
        <w:rPr>
          <w:rFonts w:ascii="Tahoma" w:cs="Tahoma" w:eastAsia="Tahoma" w:hAnsi="Tahoma"/>
          <w:b w:val="1"/>
          <w:color w:val="036287"/>
          <w:sz w:val="28"/>
          <w:szCs w:val="28"/>
          <w:rtl w:val="0"/>
        </w:rPr>
        <w:t xml:space="preserve">Direction La Fabrique du HDH</w:t>
      </w:r>
      <w:r w:rsidDel="00000000" w:rsidR="00000000" w:rsidRPr="00000000">
        <w:rPr>
          <w:rtl w:val="0"/>
        </w:rPr>
      </w:r>
    </w:p>
    <w:p w:rsidR="00000000" w:rsidDel="00000000" w:rsidP="00000000" w:rsidRDefault="00000000" w:rsidRPr="00000000" w14:paraId="00000003">
      <w:pPr>
        <w:pageBreakBefore w:val="0"/>
        <w:tabs>
          <w:tab w:val="left" w:pos="284"/>
        </w:tabs>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4">
      <w:pPr>
        <w:pageBreakBefore w:val="0"/>
        <w:tabs>
          <w:tab w:val="left" w:pos="284"/>
        </w:tabs>
        <w:spacing w:before="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5">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Contrat – CDI, temps plein</w:t>
      </w:r>
    </w:p>
    <w:p w:rsidR="00000000" w:rsidDel="00000000" w:rsidP="00000000" w:rsidRDefault="00000000" w:rsidRPr="00000000" w14:paraId="00000006">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Rémunération – selon expérience et profil</w:t>
      </w:r>
    </w:p>
    <w:p w:rsidR="00000000" w:rsidDel="00000000" w:rsidP="00000000" w:rsidRDefault="00000000" w:rsidRPr="00000000" w14:paraId="00000007">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de début – dès que possible</w:t>
      </w:r>
    </w:p>
    <w:p w:rsidR="00000000" w:rsidDel="00000000" w:rsidP="00000000" w:rsidRDefault="00000000" w:rsidRPr="00000000" w14:paraId="00000008">
      <w:pPr>
        <w:tabs>
          <w:tab w:val="left" w:pos="284"/>
        </w:tabs>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9">
      <w:pPr>
        <w:tabs>
          <w:tab w:val="left" w:pos="284"/>
        </w:tabs>
        <w:spacing w:before="0" w:line="276" w:lineRule="auto"/>
        <w:jc w:val="both"/>
        <w:rPr>
          <w:sz w:val="20"/>
          <w:szCs w:val="20"/>
        </w:rPr>
      </w:pPr>
      <w:r w:rsidDel="00000000" w:rsidR="00000000" w:rsidRPr="00000000">
        <w:rPr>
          <w:rFonts w:ascii="Tahoma" w:cs="Tahoma" w:eastAsia="Tahoma" w:hAnsi="Tahoma"/>
          <w:b w:val="1"/>
          <w:u w:val="single"/>
          <w:rtl w:val="0"/>
        </w:rPr>
        <w:t xml:space="preserve">Profil expérimenté recherché (au minimum 7 ans d’expériences professionnelles avec une expertise en gestion de projets, une connaissance avérée des bases de données en santé et de l’écosystème de la santé)</w:t>
      </w:r>
      <w:r w:rsidDel="00000000" w:rsidR="00000000" w:rsidRPr="00000000">
        <w:rPr>
          <w:rtl w:val="0"/>
        </w:rPr>
      </w:r>
    </w:p>
    <w:p w:rsidR="00000000" w:rsidDel="00000000" w:rsidP="00000000" w:rsidRDefault="00000000" w:rsidRPr="00000000" w14:paraId="0000000A">
      <w:pPr>
        <w:spacing w:after="200" w:before="480" w:line="240" w:lineRule="auto"/>
        <w:rPr>
          <w:rFonts w:ascii="Tahoma" w:cs="Tahoma" w:eastAsia="Tahoma" w:hAnsi="Tahoma"/>
          <w:b w:val="1"/>
          <w:sz w:val="28"/>
          <w:szCs w:val="28"/>
        </w:rPr>
      </w:pPr>
      <w:bookmarkStart w:colFirst="0" w:colLast="0" w:name="_heading=h.2et92p0" w:id="2"/>
      <w:bookmarkEnd w:id="2"/>
      <w:r w:rsidDel="00000000" w:rsidR="00000000" w:rsidRPr="00000000">
        <w:rPr>
          <w:rFonts w:ascii="Tahoma" w:cs="Tahoma" w:eastAsia="Tahoma" w:hAnsi="Tahoma"/>
          <w:b w:val="1"/>
          <w:sz w:val="28"/>
          <w:szCs w:val="28"/>
          <w:rtl w:val="0"/>
        </w:rPr>
        <w:t xml:space="preserve">LE HEALTH DATA HUB</w:t>
      </w:r>
    </w:p>
    <w:p w:rsidR="00000000" w:rsidDel="00000000" w:rsidP="00000000" w:rsidRDefault="00000000" w:rsidRPr="00000000" w14:paraId="0000000B">
      <w:pPr>
        <w:spacing w:before="0" w:line="259" w:lineRule="auto"/>
        <w:jc w:val="both"/>
        <w:rPr>
          <w:rFonts w:ascii="Tahoma" w:cs="Tahoma" w:eastAsia="Tahoma" w:hAnsi="Tahoma"/>
        </w:rPr>
      </w:pPr>
      <w:r w:rsidDel="00000000" w:rsidR="00000000" w:rsidRPr="00000000">
        <w:rPr>
          <w:rFonts w:ascii="Tahoma" w:cs="Tahoma" w:eastAsia="Tahoma" w:hAnsi="Tahoma"/>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w:t>
      </w:r>
    </w:p>
    <w:p w:rsidR="00000000" w:rsidDel="00000000" w:rsidP="00000000" w:rsidRDefault="00000000" w:rsidRPr="00000000" w14:paraId="0000000C">
      <w:pPr>
        <w:spacing w:before="0"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D">
      <w:pPr>
        <w:spacing w:after="160" w:before="0" w:line="240" w:lineRule="auto"/>
        <w:jc w:val="both"/>
        <w:rPr>
          <w:rFonts w:ascii="Tahoma" w:cs="Tahoma" w:eastAsia="Tahoma" w:hAnsi="Tahoma"/>
        </w:rPr>
      </w:pPr>
      <w:r w:rsidDel="00000000" w:rsidR="00000000" w:rsidRPr="00000000">
        <w:rPr>
          <w:rFonts w:ascii="Tahoma" w:cs="Tahoma" w:eastAsia="Tahoma" w:hAnsi="Tahoma"/>
          <w:rtl w:val="0"/>
        </w:rPr>
        <w:t xml:space="preserve">Le Health Data Hub c’est : </w:t>
      </w:r>
    </w:p>
    <w:p w:rsidR="00000000" w:rsidDel="00000000" w:rsidP="00000000" w:rsidRDefault="00000000" w:rsidRPr="00000000" w14:paraId="0000000E">
      <w:pPr>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Une plateforme technologique à l’état de l’art disponible pour héberger les premiers projets de recherche </w:t>
      </w:r>
      <w:r w:rsidDel="00000000" w:rsidR="00000000" w:rsidRPr="00000000">
        <w:rPr>
          <w:rtl w:val="0"/>
        </w:rPr>
      </w:r>
    </w:p>
    <w:p w:rsidR="00000000" w:rsidDel="00000000" w:rsidP="00000000" w:rsidRDefault="00000000" w:rsidRPr="00000000" w14:paraId="0000000F">
      <w:pPr>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Une équipe pluridisciplinaire d’une cinquantaine personnes impliquées dans un projet ambitieux  au service de l’intérêt général</w:t>
      </w:r>
      <w:r w:rsidDel="00000000" w:rsidR="00000000" w:rsidRPr="00000000">
        <w:rPr>
          <w:rtl w:val="0"/>
        </w:rPr>
      </w:r>
    </w:p>
    <w:p w:rsidR="00000000" w:rsidDel="00000000" w:rsidP="00000000" w:rsidRDefault="00000000" w:rsidRPr="00000000" w14:paraId="00000010">
      <w:pPr>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Près de 1 pétaoctet de données de santé traitées par an lorsque le HDH aura atteint son régime de croisière</w:t>
      </w:r>
      <w:r w:rsidDel="00000000" w:rsidR="00000000" w:rsidRPr="00000000">
        <w:rPr>
          <w:rtl w:val="0"/>
        </w:rPr>
      </w:r>
    </w:p>
    <w:p w:rsidR="00000000" w:rsidDel="00000000" w:rsidP="00000000" w:rsidRDefault="00000000" w:rsidRPr="00000000" w14:paraId="00000011">
      <w:pPr>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28 projets pilotes accompagnés - Exemples : </w:t>
      </w:r>
      <w:r w:rsidDel="00000000" w:rsidR="00000000" w:rsidRPr="00000000">
        <w:rPr>
          <w:rtl w:val="0"/>
        </w:rPr>
      </w:r>
    </w:p>
    <w:p w:rsidR="00000000" w:rsidDel="00000000" w:rsidP="00000000" w:rsidRDefault="00000000" w:rsidRPr="00000000" w14:paraId="00000012">
      <w:pPr>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Analyse du non recours au soin pendant le confinement à partir des résumés de passages aux urgences</w:t>
      </w:r>
      <w:r w:rsidDel="00000000" w:rsidR="00000000" w:rsidRPr="00000000">
        <w:rPr>
          <w:rtl w:val="0"/>
        </w:rPr>
      </w:r>
    </w:p>
    <w:p w:rsidR="00000000" w:rsidDel="00000000" w:rsidP="00000000" w:rsidRDefault="00000000" w:rsidRPr="00000000" w14:paraId="00000013">
      <w:pPr>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Etude de l’impact et des traitements sur des données de vie réelle afin d’identifier les meilleurs schémas thérapeutiques pour le traitement du sarcome </w:t>
      </w:r>
      <w:r w:rsidDel="00000000" w:rsidR="00000000" w:rsidRPr="00000000">
        <w:rPr>
          <w:rtl w:val="0"/>
        </w:rPr>
      </w:r>
    </w:p>
    <w:p w:rsidR="00000000" w:rsidDel="00000000" w:rsidP="00000000" w:rsidRDefault="00000000" w:rsidRPr="00000000" w14:paraId="00000014">
      <w:pPr>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rtl w:val="0"/>
        </w:rPr>
        <w:t xml:space="preserve">Evaluation de l’apport de l’IA dans le dépistage organisé du cancer du sein</w:t>
      </w:r>
      <w:r w:rsidDel="00000000" w:rsidR="00000000" w:rsidRPr="00000000">
        <w:rPr>
          <w:rtl w:val="0"/>
        </w:rPr>
      </w:r>
    </w:p>
    <w:p w:rsidR="00000000" w:rsidDel="00000000" w:rsidP="00000000" w:rsidRDefault="00000000" w:rsidRPr="00000000" w14:paraId="00000015">
      <w:pPr>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6">
      <w:pPr>
        <w:spacing w:before="0" w:line="276" w:lineRule="auto"/>
        <w:jc w:val="both"/>
        <w:rPr>
          <w:rFonts w:ascii="Tahoma" w:cs="Tahoma" w:eastAsia="Tahoma" w:hAnsi="Tahoma"/>
        </w:rPr>
      </w:pPr>
      <w:r w:rsidDel="00000000" w:rsidR="00000000" w:rsidRPr="00000000">
        <w:rPr>
          <w:rFonts w:ascii="Tahoma" w:cs="Tahoma" w:eastAsia="Tahoma" w:hAnsi="Tahoma"/>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7">
      <w:pPr>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8">
      <w:pPr>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9">
      <w:pPr>
        <w:spacing w:before="0" w:line="276" w:lineRule="auto"/>
        <w:jc w:val="both"/>
        <w:rPr>
          <w:rFonts w:ascii="Tahoma" w:cs="Tahoma" w:eastAsia="Tahoma" w:hAnsi="Tahoma"/>
          <w:b w:val="1"/>
          <w:sz w:val="28"/>
          <w:szCs w:val="28"/>
        </w:rPr>
      </w:pPr>
      <w:r w:rsidDel="00000000" w:rsidR="00000000" w:rsidRPr="00000000">
        <w:rPr>
          <w:rFonts w:ascii="Tahoma" w:cs="Tahoma" w:eastAsia="Tahoma" w:hAnsi="Tahoma"/>
          <w:rtl w:val="0"/>
        </w:rPr>
        <w:t xml:space="preserve">Plus d'informations sur le Health Data Hub et son équipe sur notre </w:t>
      </w:r>
      <w:hyperlink r:id="rId7">
        <w:r w:rsidDel="00000000" w:rsidR="00000000" w:rsidRPr="00000000">
          <w:rPr>
            <w:rFonts w:ascii="Tahoma" w:cs="Tahoma" w:eastAsia="Tahoma" w:hAnsi="Tahoma"/>
            <w:u w:val="single"/>
            <w:rtl w:val="0"/>
          </w:rPr>
          <w:t xml:space="preserve">site</w:t>
        </w:r>
      </w:hyperlink>
      <w:r w:rsidDel="00000000" w:rsidR="00000000" w:rsidRPr="00000000">
        <w:rPr>
          <w:rFonts w:ascii="Tahoma" w:cs="Tahoma" w:eastAsia="Tahoma" w:hAnsi="Tahoma"/>
          <w:u w:val="single"/>
          <w:rtl w:val="0"/>
        </w:rPr>
        <w:t xml:space="preserve">.</w:t>
      </w:r>
      <w:r w:rsidDel="00000000" w:rsidR="00000000" w:rsidRPr="00000000">
        <w:rPr>
          <w:rtl w:val="0"/>
        </w:rPr>
      </w:r>
    </w:p>
    <w:p w:rsidR="00000000" w:rsidDel="00000000" w:rsidP="00000000" w:rsidRDefault="00000000" w:rsidRPr="00000000" w14:paraId="0000001A">
      <w:pPr>
        <w:spacing w:before="0" w:line="276" w:lineRule="auto"/>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B">
      <w:pPr>
        <w:pageBreakBefore w:val="0"/>
        <w:spacing w:before="0"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C">
      <w:pPr>
        <w:pageBreakBefore w:val="0"/>
        <w:spacing w:before="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DESCRIPTIF DU POSTE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E">
      <w:pPr>
        <w:pageBreakBefore w:val="0"/>
        <w:spacing w:before="0" w:line="276" w:lineRule="auto"/>
        <w:jc w:val="both"/>
        <w:rPr>
          <w:rFonts w:ascii="Tahoma" w:cs="Tahoma" w:eastAsia="Tahoma" w:hAnsi="Tahoma"/>
        </w:rPr>
      </w:pPr>
      <w:r w:rsidDel="00000000" w:rsidR="00000000" w:rsidRPr="00000000">
        <w:rPr>
          <w:rFonts w:ascii="Tahoma" w:cs="Tahoma" w:eastAsia="Tahoma" w:hAnsi="Tahoma"/>
          <w:rtl w:val="0"/>
        </w:rPr>
        <w:t xml:space="preserve">La Fabrique développe en continu les nouveaux services du Health Data Hub.  Ce pôle  :</w:t>
      </w:r>
    </w:p>
    <w:p w:rsidR="00000000" w:rsidDel="00000000" w:rsidP="00000000" w:rsidRDefault="00000000" w:rsidRPr="00000000" w14:paraId="0000001F">
      <w:pPr>
        <w:pageBreakBefore w:val="0"/>
        <w:numPr>
          <w:ilvl w:val="0"/>
          <w:numId w:val="1"/>
        </w:numPr>
        <w:spacing w:before="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organise des appels à projets et accompagne ensuite les projets lauréats sur le plan humain et financier. Elle développe et met à disposition des outils visant à faciliter l’accès à la donnée de santé pour la communauté;</w:t>
      </w:r>
    </w:p>
    <w:p w:rsidR="00000000" w:rsidDel="00000000" w:rsidP="00000000" w:rsidRDefault="00000000" w:rsidRPr="00000000" w14:paraId="00000020">
      <w:pPr>
        <w:pageBreakBefore w:val="0"/>
        <w:numPr>
          <w:ilvl w:val="0"/>
          <w:numId w:val="1"/>
        </w:numPr>
        <w:spacing w:before="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conclut des partenariats avec des responsables de données pour déterminer le périmètre d’intérêt de données à mettre au catalogue du Health Data Hub en s’appuyant sur une offre de service visant à augmenter leur visibilité et l’usage de leur base;</w:t>
      </w:r>
    </w:p>
    <w:p w:rsidR="00000000" w:rsidDel="00000000" w:rsidP="00000000" w:rsidRDefault="00000000" w:rsidRPr="00000000" w14:paraId="00000021">
      <w:pPr>
        <w:pageBreakBefore w:val="0"/>
        <w:numPr>
          <w:ilvl w:val="0"/>
          <w:numId w:val="1"/>
        </w:numPr>
        <w:spacing w:before="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élabore des services auprès de la société civile afin de favoriser sa compréhension des enjeux et de faciliter l’exercice de ses droits ; </w:t>
      </w:r>
    </w:p>
    <w:p w:rsidR="00000000" w:rsidDel="00000000" w:rsidP="00000000" w:rsidRDefault="00000000" w:rsidRPr="00000000" w14:paraId="00000022">
      <w:pPr>
        <w:pageBreakBefore w:val="0"/>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pageBreakBefore w:val="0"/>
        <w:spacing w:before="0" w:line="276" w:lineRule="auto"/>
        <w:jc w:val="both"/>
        <w:rPr>
          <w:rFonts w:ascii="Tahoma" w:cs="Tahoma" w:eastAsia="Tahoma" w:hAnsi="Tahoma"/>
        </w:rPr>
      </w:pPr>
      <w:r w:rsidDel="00000000" w:rsidR="00000000" w:rsidRPr="00000000">
        <w:rPr>
          <w:rFonts w:ascii="Tahoma" w:cs="Tahoma" w:eastAsia="Tahoma" w:hAnsi="Tahoma"/>
          <w:rtl w:val="0"/>
        </w:rPr>
        <w:t xml:space="preserve">Au sein de la Fabrique, vous interviendrez principalement sur la consolidation de notre offre de services à destination des responsables de données et sur le développement de partenariats auprès de ces derniers (hôpitaux, universités, institutionnels, industriels, start-up) pour définir puis accompagner la mise au catalogue d’un périmètre de données d’intérêt (cohortes, registres, données médico-administratives, données de suivi de soins…). Au regard de votre expérience et de vos compétences, vous vous investirez également sur d’autres services développés au sein de la Fabrique présentés ci-avant.</w:t>
      </w:r>
    </w:p>
    <w:p w:rsidR="00000000" w:rsidDel="00000000" w:rsidP="00000000" w:rsidRDefault="00000000" w:rsidRPr="00000000" w14:paraId="00000024">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Contractualiser les partenariats avec des responsables de données et développer l’offre de service associée </w:t>
      </w:r>
    </w:p>
    <w:p w:rsidR="00000000" w:rsidDel="00000000" w:rsidP="00000000" w:rsidRDefault="00000000" w:rsidRPr="00000000" w14:paraId="00000026">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Développement de partenariats et conduite des négociations avec les responsables de données dans le cadre de la mise au catalogue de bases de données  : présentation de l’offre de service du HDH envers les responsables de données; cadrage du partenariat et des modalités d’accompagnement;  détermination des conditions techniques, juridiques, tarifaires et de valorisation scientifique jusqu’au conventionnement; pilotage de l’accompagnement humain et financier…)</w:t>
      </w:r>
      <w:r w:rsidDel="00000000" w:rsidR="00000000" w:rsidRPr="00000000">
        <w:rPr>
          <w:rtl w:val="0"/>
        </w:rPr>
      </w:r>
    </w:p>
    <w:p w:rsidR="00000000" w:rsidDel="00000000" w:rsidP="00000000" w:rsidRDefault="00000000" w:rsidRPr="00000000" w14:paraId="00000027">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Contribution à la stabilisation, à l’industrialisation puis au développement de l’offre de services attractive et adaptée aux différentes types de responsables de données et bases associées : benchmarks; conduite d’ateliers de travail avec des experts et parties prenants; conduite de pilotes avec des responsables de données; élaboration de la stratégie de déploiement de l’offre de services. L’offre de service porte notamment sur la valorisation scientifique, le modèle économique, les métadonnées, l’information patients</w:t>
      </w:r>
    </w:p>
    <w:p w:rsidR="00000000" w:rsidDel="00000000" w:rsidP="00000000" w:rsidRDefault="00000000" w:rsidRPr="00000000" w14:paraId="00000028">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Structuration puis animation d’un réseau des responsables de données / porteurs de projet </w:t>
      </w:r>
    </w:p>
    <w:p w:rsidR="00000000" w:rsidDel="00000000" w:rsidP="00000000" w:rsidRDefault="00000000" w:rsidRPr="00000000" w14:paraId="00000029">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A">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B">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C">
      <w:pPr>
        <w:pageBreakBefore w:val="0"/>
        <w:spacing w:before="0" w:line="276" w:lineRule="auto"/>
        <w:jc w:val="both"/>
        <w:rPr>
          <w:rFonts w:ascii="Tahoma" w:cs="Tahoma" w:eastAsia="Tahoma" w:hAnsi="Tahoma"/>
          <w:b w:val="1"/>
          <w:color w:val="000000"/>
        </w:rPr>
      </w:pPr>
      <w:bookmarkStart w:colFirst="0" w:colLast="0" w:name="_heading=h.3dy6vkm" w:id="3"/>
      <w:bookmarkEnd w:id="3"/>
      <w:r w:rsidDel="00000000" w:rsidR="00000000" w:rsidRPr="00000000">
        <w:rPr>
          <w:rFonts w:ascii="Tahoma" w:cs="Tahoma" w:eastAsia="Tahoma" w:hAnsi="Tahoma"/>
          <w:b w:val="1"/>
          <w:color w:val="000000"/>
          <w:rtl w:val="0"/>
        </w:rPr>
        <w:t xml:space="preserve">S’investir dans les autres services de la Fabrique</w:t>
      </w:r>
    </w:p>
    <w:p w:rsidR="00000000" w:rsidDel="00000000" w:rsidP="00000000" w:rsidRDefault="00000000" w:rsidRPr="00000000" w14:paraId="0000002D">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Accompagnement direct de projets retenus dans le cadre d’appels à projet à toutes les étapes : cadrage, préparation du protocole scientifique puis du dossier CNIL, conventionnement, préparation des données…</w:t>
      </w:r>
    </w:p>
    <w:p w:rsidR="00000000" w:rsidDel="00000000" w:rsidP="00000000" w:rsidRDefault="00000000" w:rsidRPr="00000000" w14:paraId="0000002E">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Participation à la représentation de l’offre de service de la Fabrique via la contribution à l’organisation d’événements et la participation à des événements de l’écosystème</w:t>
      </w:r>
    </w:p>
    <w:p w:rsidR="00000000" w:rsidDel="00000000" w:rsidP="00000000" w:rsidRDefault="00000000" w:rsidRPr="00000000" w14:paraId="0000002F">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Contribution à la stratégie de la Fabrique et en particulier l’identification puis la structuration de nouveaux services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before="480" w:line="240" w:lineRule="auto"/>
        <w:rPr>
          <w:rFonts w:ascii="Tahoma" w:cs="Tahoma" w:eastAsia="Tahoma" w:hAnsi="Tahoma"/>
          <w:b w:val="1"/>
          <w:color w:val="000000"/>
        </w:rPr>
      </w:pPr>
      <w:bookmarkStart w:colFirst="0" w:colLast="0" w:name="_heading=h.4d34og8" w:id="4"/>
      <w:bookmarkEnd w:id="4"/>
      <w:r w:rsidDel="00000000" w:rsidR="00000000" w:rsidRPr="00000000">
        <w:rPr>
          <w:rFonts w:ascii="Tahoma" w:cs="Tahoma" w:eastAsia="Tahoma" w:hAnsi="Tahoma"/>
          <w:b w:val="1"/>
          <w:color w:val="000000"/>
          <w:rtl w:val="0"/>
        </w:rPr>
        <w:t xml:space="preserve">PROFIL RECHERCHE</w:t>
      </w:r>
    </w:p>
    <w:p w:rsidR="00000000" w:rsidDel="00000000" w:rsidP="00000000" w:rsidRDefault="00000000" w:rsidRPr="00000000" w14:paraId="00000031">
      <w:pPr>
        <w:pageBreakBefore w:val="0"/>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2s8eyo1" w:id="5"/>
      <w:bookmarkEnd w:id="5"/>
      <w:r w:rsidDel="00000000" w:rsidR="00000000" w:rsidRPr="00000000">
        <w:rPr>
          <w:rFonts w:ascii="Tahoma" w:cs="Tahoma" w:eastAsia="Tahoma" w:hAnsi="Tahoma"/>
          <w:b w:val="1"/>
          <w:color w:val="000000"/>
          <w:rtl w:val="0"/>
        </w:rPr>
        <w:t xml:space="preserve">Compétences techniques</w:t>
      </w:r>
      <w:r w:rsidDel="00000000" w:rsidR="00000000" w:rsidRPr="00000000">
        <w:rPr>
          <w:rtl w:val="0"/>
        </w:rPr>
      </w:r>
    </w:p>
    <w:p w:rsidR="00000000" w:rsidDel="00000000" w:rsidP="00000000" w:rsidRDefault="00000000" w:rsidRPr="00000000" w14:paraId="00000033">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gestion de projets complexes (cadrage, pilotage, accompagnement)</w:t>
      </w:r>
      <w:r w:rsidDel="00000000" w:rsidR="00000000" w:rsidRPr="00000000">
        <w:rPr>
          <w:rtl w:val="0"/>
        </w:rPr>
      </w:r>
    </w:p>
    <w:p w:rsidR="00000000" w:rsidDel="00000000" w:rsidP="00000000" w:rsidRDefault="00000000" w:rsidRPr="00000000" w14:paraId="00000034">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conception et développement d’une offre de service</w:t>
      </w:r>
    </w:p>
    <w:p w:rsidR="00000000" w:rsidDel="00000000" w:rsidP="00000000" w:rsidRDefault="00000000" w:rsidRPr="00000000" w14:paraId="00000035">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connaissance des données de santé et des contraintes associées</w:t>
      </w:r>
    </w:p>
    <w:p w:rsidR="00000000" w:rsidDel="00000000" w:rsidP="00000000" w:rsidRDefault="00000000" w:rsidRPr="00000000" w14:paraId="00000036">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expérience en matière d’analyse des données et/ou </w:t>
      </w:r>
    </w:p>
    <w:p w:rsidR="00000000" w:rsidDel="00000000" w:rsidP="00000000" w:rsidRDefault="00000000" w:rsidRPr="00000000" w14:paraId="00000037">
      <w:pPr>
        <w:pageBreakBefore w:val="0"/>
        <w:spacing w:before="0" w:line="276" w:lineRule="auto"/>
        <w:ind w:left="720" w:firstLine="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expérience avérée en milieu hospitalier</w:t>
      </w:r>
    </w:p>
    <w:p w:rsidR="00000000" w:rsidDel="00000000" w:rsidP="00000000" w:rsidRDefault="00000000" w:rsidRPr="00000000" w14:paraId="00000038">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connaissance des enjeux et des modèles de valorisation dans la recherche sur les données de santé est appréciée</w:t>
      </w:r>
    </w:p>
    <w:p w:rsidR="00000000" w:rsidDel="00000000" w:rsidP="00000000" w:rsidRDefault="00000000" w:rsidRPr="00000000" w14:paraId="00000039">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des bases juridiques associées à la protection des données personnelles sont appréciées</w:t>
      </w:r>
    </w:p>
    <w:p w:rsidR="00000000" w:rsidDel="00000000" w:rsidP="00000000" w:rsidRDefault="00000000" w:rsidRPr="00000000" w14:paraId="0000003A">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anglais courant</w:t>
      </w:r>
    </w:p>
    <w:p w:rsidR="00000000" w:rsidDel="00000000" w:rsidP="00000000" w:rsidRDefault="00000000" w:rsidRPr="00000000" w14:paraId="0000003B">
      <w:pPr>
        <w:pageBreakBefore w:val="0"/>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17dp8vu" w:id="6"/>
      <w:bookmarkEnd w:id="6"/>
      <w:r w:rsidDel="00000000" w:rsidR="00000000" w:rsidRPr="00000000">
        <w:rPr>
          <w:rFonts w:ascii="Tahoma" w:cs="Tahoma" w:eastAsia="Tahoma" w:hAnsi="Tahoma"/>
          <w:b w:val="1"/>
          <w:color w:val="000000"/>
          <w:rtl w:val="0"/>
        </w:rPr>
        <w:t xml:space="preserve">Compétences managériales et relationnelles</w:t>
      </w:r>
      <w:r w:rsidDel="00000000" w:rsidR="00000000" w:rsidRPr="00000000">
        <w:rPr>
          <w:rtl w:val="0"/>
        </w:rPr>
      </w:r>
    </w:p>
    <w:p w:rsidR="00000000" w:rsidDel="00000000" w:rsidP="00000000" w:rsidRDefault="00000000" w:rsidRPr="00000000" w14:paraId="0000003D">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capacité de travail en équipe et ouverture d’esprit</w:t>
      </w:r>
    </w:p>
    <w:p w:rsidR="00000000" w:rsidDel="00000000" w:rsidP="00000000" w:rsidRDefault="00000000" w:rsidRPr="00000000" w14:paraId="0000003E">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qualités d’organisation, de planification et de rigueur pour mener de front plusieurs chantiers complexes</w:t>
      </w:r>
      <w:r w:rsidDel="00000000" w:rsidR="00000000" w:rsidRPr="00000000">
        <w:rPr>
          <w:rtl w:val="0"/>
        </w:rPr>
      </w:r>
    </w:p>
    <w:p w:rsidR="00000000" w:rsidDel="00000000" w:rsidP="00000000" w:rsidRDefault="00000000" w:rsidRPr="00000000" w14:paraId="0000003F">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fortes  capacités d’adaptation et réactivité pour des délivrer des résultats de grande qualité dans des délais contraints</w:t>
      </w:r>
    </w:p>
    <w:p w:rsidR="00000000" w:rsidDel="00000000" w:rsidP="00000000" w:rsidRDefault="00000000" w:rsidRPr="00000000" w14:paraId="00000040">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excellentes qualités relationnelles et d’accompagnement du changement</w:t>
      </w:r>
    </w:p>
    <w:p w:rsidR="00000000" w:rsidDel="00000000" w:rsidP="00000000" w:rsidRDefault="00000000" w:rsidRPr="00000000" w14:paraId="00000041">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autonomie, pédagogie, clarté de présentation</w:t>
      </w:r>
    </w:p>
    <w:p w:rsidR="00000000" w:rsidDel="00000000" w:rsidP="00000000" w:rsidRDefault="00000000" w:rsidRPr="00000000" w14:paraId="00000042">
      <w:pPr>
        <w:pageBreakBefore w:val="0"/>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right" w:pos="8010"/>
        </w:tabs>
        <w:spacing w:before="0" w:line="276" w:lineRule="auto"/>
        <w:ind w:left="360" w:hanging="360"/>
        <w:jc w:val="both"/>
        <w:rPr>
          <w:rFonts w:ascii="Tahoma" w:cs="Tahoma" w:eastAsia="Tahoma" w:hAnsi="Tahoma"/>
          <w:b w:val="1"/>
          <w:color w:val="000000"/>
        </w:rPr>
      </w:pPr>
      <w:bookmarkStart w:colFirst="0" w:colLast="0" w:name="_heading=h.3rdcrjn" w:id="7"/>
      <w:bookmarkEnd w:id="7"/>
      <w:r w:rsidDel="00000000" w:rsidR="00000000" w:rsidRPr="00000000">
        <w:rPr>
          <w:rFonts w:ascii="Tahoma" w:cs="Tahoma" w:eastAsia="Tahoma" w:hAnsi="Tahoma"/>
          <w:b w:val="1"/>
          <w:color w:val="000000"/>
          <w:rtl w:val="0"/>
        </w:rPr>
        <w:t xml:space="preserve">Pour postuler</w:t>
      </w:r>
      <w:r w:rsidDel="00000000" w:rsidR="00000000" w:rsidRPr="00000000">
        <w:rPr>
          <w:rFonts w:ascii="Tahoma" w:cs="Tahoma" w:eastAsia="Tahoma" w:hAnsi="Tahoma"/>
          <w:b w:val="1"/>
          <w:color w:val="000000"/>
          <w:rtl w:val="0"/>
        </w:rPr>
        <w:t xml:space="preserve"> </w:t>
      </w:r>
    </w:p>
    <w:p w:rsidR="00000000" w:rsidDel="00000000" w:rsidP="00000000" w:rsidRDefault="00000000" w:rsidRPr="00000000" w14:paraId="00000044">
      <w:pPr>
        <w:pageBreakBefore w:val="0"/>
        <w:tabs>
          <w:tab w:val="right" w:pos="8010"/>
        </w:tabs>
        <w:spacing w:before="0" w:line="276" w:lineRule="auto"/>
        <w:ind w:left="74" w:firstLine="0"/>
        <w:rPr>
          <w:rFonts w:ascii="Tahoma" w:cs="Tahoma" w:eastAsia="Tahoma" w:hAnsi="Tahoma"/>
          <w:color w:val="000000"/>
        </w:rPr>
      </w:pPr>
      <w:r w:rsidDel="00000000" w:rsidR="00000000" w:rsidRPr="00000000">
        <w:rPr>
          <w:rFonts w:ascii="Tahoma" w:cs="Tahoma" w:eastAsia="Tahoma" w:hAnsi="Tahoma"/>
          <w:color w:val="000000"/>
          <w:rtl w:val="0"/>
        </w:rPr>
        <w:t xml:space="preserve">Contact : </w:t>
      </w:r>
      <w:hyperlink r:id="rId8">
        <w:r w:rsidDel="00000000" w:rsidR="00000000" w:rsidRPr="00000000">
          <w:rPr>
            <w:rFonts w:ascii="Tahoma" w:cs="Tahoma" w:eastAsia="Tahoma" w:hAnsi="Tahoma"/>
            <w:color w:val="000000"/>
            <w:u w:val="single"/>
            <w:rtl w:val="0"/>
          </w:rPr>
          <w:t xml:space="preserve">jobs.fabrique@health-data-hub.fr</w:t>
        </w:r>
      </w:hyperlink>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b w:val="1"/>
      <w:sz w:val="28"/>
      <w:szCs w:val="28"/>
    </w:rPr>
  </w:style>
  <w:style w:type="paragraph" w:styleId="Heading2">
    <w:name w:val="heading 2"/>
    <w:basedOn w:val="Normal"/>
    <w:next w:val="Normal"/>
    <w:pPr>
      <w:pageBreakBefore w:val="0"/>
      <w:spacing w:before="0" w:line="276" w:lineRule="auto"/>
      <w:ind w:left="360"/>
      <w:jc w:val="both"/>
    </w:pPr>
    <w:rPr>
      <w:b w:val="1"/>
      <w:color w:val="1155cc"/>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pageBreakBefore w:val="0"/>
      <w:spacing w:before="320" w:line="24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spacing w:before="480" w:line="240" w:lineRule="auto"/>
      <w:outlineLvl w:val="0"/>
    </w:pPr>
    <w:rPr>
      <w:b w:val="1"/>
      <w:sz w:val="28"/>
      <w:szCs w:val="28"/>
    </w:rPr>
  </w:style>
  <w:style w:type="paragraph" w:styleId="Titre2">
    <w:name w:val="heading 2"/>
    <w:basedOn w:val="Normal"/>
    <w:next w:val="Normal"/>
    <w:uiPriority w:val="9"/>
    <w:semiHidden w:val="1"/>
    <w:unhideWhenUsed w:val="1"/>
    <w:qFormat w:val="1"/>
    <w:pPr>
      <w:spacing w:before="0" w:line="276" w:lineRule="auto"/>
      <w:ind w:left="360"/>
      <w:jc w:val="both"/>
      <w:outlineLvl w:val="1"/>
    </w:pPr>
    <w:rPr>
      <w:b w:val="1"/>
      <w:color w:val="1155cc"/>
      <w:sz w:val="28"/>
      <w:szCs w:val="28"/>
    </w:rPr>
  </w:style>
  <w:style w:type="paragraph" w:styleId="Titre3">
    <w:name w:val="heading 3"/>
    <w:basedOn w:val="Normal"/>
    <w:next w:val="Normal"/>
    <w:uiPriority w:val="9"/>
    <w:semiHidden w:val="1"/>
    <w:unhideWhenUsed w:val="1"/>
    <w:qFormat w:val="1"/>
    <w:pPr>
      <w:spacing w:line="240" w:lineRule="auto"/>
      <w:outlineLvl w:val="2"/>
    </w:pPr>
    <w:rPr>
      <w:sz w:val="26"/>
      <w:szCs w:val="26"/>
    </w:rPr>
  </w:style>
  <w:style w:type="paragraph" w:styleId="Titre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re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re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spacing w:before="320" w:line="240" w:lineRule="auto"/>
    </w:pPr>
    <w:rPr>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spacing w:before="0" w:line="240" w:lineRule="auto"/>
    </w:pPr>
    <w:rPr>
      <w:color w:val="666666"/>
      <w:sz w:val="26"/>
      <w:szCs w:val="26"/>
    </w:rPr>
  </w:style>
  <w:style w:type="paragraph" w:styleId="Textedebulles">
    <w:name w:val="Balloon Text"/>
    <w:basedOn w:val="Normal"/>
    <w:link w:val="TextedebullesCar"/>
    <w:uiPriority w:val="99"/>
    <w:semiHidden w:val="1"/>
    <w:unhideWhenUsed w:val="1"/>
    <w:rsid w:val="00E7284C"/>
    <w:pPr>
      <w:spacing w:before="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E7284C"/>
    <w:rPr>
      <w:rFonts w:ascii="Tahoma" w:cs="Tahoma" w:hAnsi="Tahoma"/>
      <w:sz w:val="16"/>
      <w:szCs w:val="16"/>
    </w:rPr>
  </w:style>
  <w:style w:type="character" w:styleId="Marquedecommentaire">
    <w:name w:val="annotation reference"/>
    <w:basedOn w:val="Policepardfaut"/>
    <w:uiPriority w:val="99"/>
    <w:semiHidden w:val="1"/>
    <w:unhideWhenUsed w:val="1"/>
    <w:rsid w:val="009909E1"/>
    <w:rPr>
      <w:sz w:val="16"/>
      <w:szCs w:val="16"/>
    </w:rPr>
  </w:style>
  <w:style w:type="paragraph" w:styleId="Commentaire">
    <w:name w:val="annotation text"/>
    <w:basedOn w:val="Normal"/>
    <w:link w:val="CommentaireCar"/>
    <w:uiPriority w:val="99"/>
    <w:semiHidden w:val="1"/>
    <w:unhideWhenUsed w:val="1"/>
    <w:rsid w:val="009909E1"/>
    <w:pPr>
      <w:spacing w:line="240" w:lineRule="auto"/>
    </w:pPr>
    <w:rPr>
      <w:sz w:val="20"/>
      <w:szCs w:val="20"/>
    </w:rPr>
  </w:style>
  <w:style w:type="character" w:styleId="CommentaireCar" w:customStyle="1">
    <w:name w:val="Commentaire Car"/>
    <w:basedOn w:val="Policepardfaut"/>
    <w:link w:val="Commentaire"/>
    <w:uiPriority w:val="99"/>
    <w:semiHidden w:val="1"/>
    <w:rsid w:val="009909E1"/>
    <w:rPr>
      <w:sz w:val="20"/>
      <w:szCs w:val="20"/>
    </w:rPr>
  </w:style>
  <w:style w:type="paragraph" w:styleId="Objetducommentaire">
    <w:name w:val="annotation subject"/>
    <w:basedOn w:val="Commentaire"/>
    <w:next w:val="Commentaire"/>
    <w:link w:val="ObjetducommentaireCar"/>
    <w:uiPriority w:val="99"/>
    <w:semiHidden w:val="1"/>
    <w:unhideWhenUsed w:val="1"/>
    <w:rsid w:val="009909E1"/>
    <w:rPr>
      <w:b w:val="1"/>
      <w:bCs w:val="1"/>
    </w:rPr>
  </w:style>
  <w:style w:type="character" w:styleId="ObjetducommentaireCar" w:customStyle="1">
    <w:name w:val="Objet du commentaire Car"/>
    <w:basedOn w:val="CommentaireCar"/>
    <w:link w:val="Objetducommentaire"/>
    <w:uiPriority w:val="99"/>
    <w:semiHidden w:val="1"/>
    <w:rsid w:val="009909E1"/>
    <w:rPr>
      <w:b w:val="1"/>
      <w:bCs w:val="1"/>
      <w:sz w:val="20"/>
      <w:szCs w:val="20"/>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data-hub.fr/" TargetMode="External"/><Relationship Id="rId8" Type="http://schemas.openxmlformats.org/officeDocument/2006/relationships/hyperlink" Target="mailto:jobs@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J2f/u2FEiTCG04OH34VNdJojA==">AMUW2mX3sxQZ2Qc/6RezsNeVQmDQ4m0RfgUWPn7XtNNjU6gn+7gCbrdGNnGuG90g8LNEYtmWwClXdw0rzygAcsGY/UGKOPm9mBrjuCsKdZnRG54f4YhatraJMhacunn1Nzce0YpjbRNGMu2pZT4jCcH+9rCXvFrc4cDGF56o1tcISor0O/qupdh7Ywi5gTxyOGEXFGBy5GZu2ZUcRQhxUFt2g1SUYpEgeVodyIkhF52nsfUApGeIFfg=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2021-05-04T11:52:00Z</dcterms:created>
  <dc:creator>PREVOT Sophie</dc:creator>
</cp:coreProperties>
</file>