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Proxima Nova" w:cs="Proxima Nova" w:eastAsia="Proxima Nova" w:hAnsi="Proxima Nova"/>
          <w:b w:val="1"/>
          <w:color w:val="353744"/>
          <w:sz w:val="36"/>
          <w:szCs w:val="36"/>
        </w:rPr>
      </w:pPr>
      <w:r w:rsidDel="00000000" w:rsidR="00000000" w:rsidRPr="00000000">
        <w:rPr>
          <w:rFonts w:ascii="Tahoma" w:cs="Tahoma" w:eastAsia="Tahoma" w:hAnsi="Tahoma"/>
          <w:b w:val="1"/>
          <w:color w:val="036287"/>
          <w:sz w:val="36"/>
          <w:szCs w:val="36"/>
          <w:rtl w:val="0"/>
        </w:rPr>
        <w:t xml:space="preserve">Release Manager H/F</w:t>
      </w:r>
      <w:r w:rsidDel="00000000" w:rsidR="00000000" w:rsidRPr="00000000">
        <w:rPr>
          <w:rtl w:val="0"/>
        </w:rPr>
      </w:r>
    </w:p>
    <w:p w:rsidR="00000000" w:rsidDel="00000000" w:rsidP="00000000" w:rsidRDefault="00000000" w:rsidRPr="00000000" w14:paraId="00000002">
      <w:pPr>
        <w:pStyle w:val="Subtitle"/>
        <w:keepNext w:val="0"/>
        <w:keepLines w:val="0"/>
        <w:spacing w:after="0" w:line="240" w:lineRule="auto"/>
        <w:rPr>
          <w:rFonts w:ascii="Proxima Nova" w:cs="Proxima Nova" w:eastAsia="Proxima Nova" w:hAnsi="Proxima Nova"/>
          <w:b w:val="1"/>
          <w:color w:val="353744"/>
          <w:sz w:val="28"/>
          <w:szCs w:val="28"/>
        </w:rPr>
      </w:pPr>
      <w:bookmarkStart w:colFirst="0" w:colLast="0" w:name="_heading=h.30j0zll" w:id="0"/>
      <w:bookmarkEnd w:id="0"/>
      <w:r w:rsidDel="00000000" w:rsidR="00000000" w:rsidRPr="00000000">
        <w:rPr>
          <w:rFonts w:ascii="Tahoma" w:cs="Tahoma" w:eastAsia="Tahoma" w:hAnsi="Tahoma"/>
          <w:b w:val="1"/>
          <w:color w:val="036287"/>
          <w:sz w:val="28"/>
          <w:szCs w:val="28"/>
          <w:rtl w:val="0"/>
        </w:rPr>
        <w:t xml:space="preserve">Direction technique du HDH</w:t>
      </w:r>
      <w:r w:rsidDel="00000000" w:rsidR="00000000" w:rsidRPr="00000000">
        <w:rPr>
          <w:rtl w:val="0"/>
        </w:rPr>
      </w:r>
    </w:p>
    <w:p w:rsidR="00000000" w:rsidDel="00000000" w:rsidP="00000000" w:rsidRDefault="00000000" w:rsidRPr="00000000" w14:paraId="00000003">
      <w:pPr>
        <w:pStyle w:val="Subtitle"/>
        <w:keepNext w:val="0"/>
        <w:keepLines w:val="0"/>
        <w:spacing w:after="0" w:line="240" w:lineRule="auto"/>
        <w:rPr>
          <w:rFonts w:ascii="Proxima Nova" w:cs="Proxima Nova" w:eastAsia="Proxima Nova" w:hAnsi="Proxima Nova"/>
          <w:b w:val="1"/>
          <w:color w:val="353744"/>
          <w:sz w:val="20"/>
          <w:szCs w:val="20"/>
        </w:rPr>
      </w:pPr>
      <w:bookmarkStart w:colFirst="0" w:colLast="0" w:name="_heading=h.1fob9te" w:id="1"/>
      <w:bookmarkEnd w:id="1"/>
      <w:r w:rsidDel="00000000" w:rsidR="00000000" w:rsidRPr="00000000">
        <w:rPr>
          <w:rtl w:val="0"/>
        </w:rPr>
      </w:r>
    </w:p>
    <w:p w:rsidR="00000000" w:rsidDel="00000000" w:rsidP="00000000" w:rsidRDefault="00000000" w:rsidRPr="00000000" w14:paraId="00000004">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Contrat – CDI, temps plein</w:t>
      </w:r>
    </w:p>
    <w:p w:rsidR="00000000" w:rsidDel="00000000" w:rsidP="00000000" w:rsidRDefault="00000000" w:rsidRPr="00000000" w14:paraId="00000005">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Rémunération – selon expérience et profil</w:t>
      </w:r>
    </w:p>
    <w:p w:rsidR="00000000" w:rsidDel="00000000" w:rsidP="00000000" w:rsidRDefault="00000000" w:rsidRPr="00000000" w14:paraId="00000006">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Date de début – dès que possible</w:t>
      </w:r>
    </w:p>
    <w:p w:rsidR="00000000" w:rsidDel="00000000" w:rsidP="00000000" w:rsidRDefault="00000000" w:rsidRPr="00000000" w14:paraId="00000007">
      <w:pPr>
        <w:tabs>
          <w:tab w:val="left" w:pos="284"/>
        </w:tabs>
        <w:spacing w:line="240" w:lineRule="auto"/>
        <w:jc w:val="both"/>
        <w:rPr>
          <w:rFonts w:ascii="Proxima Nova" w:cs="Proxima Nova" w:eastAsia="Proxima Nova" w:hAnsi="Proxima Nova"/>
          <w:color w:val="353744"/>
          <w:sz w:val="20"/>
          <w:szCs w:val="20"/>
        </w:rPr>
      </w:pPr>
      <w:r w:rsidDel="00000000" w:rsidR="00000000" w:rsidRPr="00000000">
        <w:rPr>
          <w:rtl w:val="0"/>
        </w:rPr>
      </w:r>
    </w:p>
    <w:p w:rsidR="00000000" w:rsidDel="00000000" w:rsidP="00000000" w:rsidRDefault="00000000" w:rsidRPr="00000000" w14:paraId="00000008">
      <w:pPr>
        <w:spacing w:after="200" w:before="480" w:line="240" w:lineRule="auto"/>
        <w:rPr>
          <w:rFonts w:ascii="Tahoma" w:cs="Tahoma" w:eastAsia="Tahoma" w:hAnsi="Tahoma"/>
          <w:b w:val="1"/>
          <w:color w:val="353744"/>
          <w:sz w:val="28"/>
          <w:szCs w:val="28"/>
        </w:rPr>
      </w:pPr>
      <w:bookmarkStart w:colFirst="0" w:colLast="0" w:name="_heading=h.2et92p0" w:id="2"/>
      <w:bookmarkEnd w:id="2"/>
      <w:r w:rsidDel="00000000" w:rsidR="00000000" w:rsidRPr="00000000">
        <w:rPr>
          <w:rFonts w:ascii="Tahoma" w:cs="Tahoma" w:eastAsia="Tahoma" w:hAnsi="Tahoma"/>
          <w:b w:val="1"/>
          <w:color w:val="353744"/>
          <w:sz w:val="28"/>
          <w:szCs w:val="28"/>
          <w:rtl w:val="0"/>
        </w:rPr>
        <w:t xml:space="preserve">LE HEALTH DATA HUB</w:t>
      </w:r>
    </w:p>
    <w:p w:rsidR="00000000" w:rsidDel="00000000" w:rsidP="00000000" w:rsidRDefault="00000000" w:rsidRPr="00000000" w14:paraId="00000009">
      <w:pPr>
        <w:spacing w:after="240" w:before="200"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 </w:t>
      </w:r>
    </w:p>
    <w:p w:rsidR="00000000" w:rsidDel="00000000" w:rsidP="00000000" w:rsidRDefault="00000000" w:rsidRPr="00000000" w14:paraId="0000000A">
      <w:pPr>
        <w:spacing w:after="160"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Health Data Hub c’est : </w:t>
      </w:r>
    </w:p>
    <w:p w:rsidR="00000000" w:rsidDel="00000000" w:rsidP="00000000" w:rsidRDefault="00000000" w:rsidRPr="00000000" w14:paraId="0000000B">
      <w:pPr>
        <w:numPr>
          <w:ilvl w:val="0"/>
          <w:numId w:val="3"/>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Une plateforme technologique à l’état de l’art disponible pour héberger les premiers projets de recherche </w:t>
      </w:r>
    </w:p>
    <w:p w:rsidR="00000000" w:rsidDel="00000000" w:rsidP="00000000" w:rsidRDefault="00000000" w:rsidRPr="00000000" w14:paraId="0000000C">
      <w:pPr>
        <w:numPr>
          <w:ilvl w:val="0"/>
          <w:numId w:val="3"/>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Une équipe pluridisciplinaire d’une cinquantaine personnes impliquées dans un projet ambitieux  au service de l’intérêt général</w:t>
      </w:r>
    </w:p>
    <w:p w:rsidR="00000000" w:rsidDel="00000000" w:rsidP="00000000" w:rsidRDefault="00000000" w:rsidRPr="00000000" w14:paraId="0000000D">
      <w:pPr>
        <w:numPr>
          <w:ilvl w:val="0"/>
          <w:numId w:val="3"/>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Près de 1 pétaoctet de données de santé traitées par an lorsque le HDH aura atteint son régime de croisière</w:t>
      </w:r>
    </w:p>
    <w:p w:rsidR="00000000" w:rsidDel="00000000" w:rsidP="00000000" w:rsidRDefault="00000000" w:rsidRPr="00000000" w14:paraId="0000000E">
      <w:pPr>
        <w:numPr>
          <w:ilvl w:val="0"/>
          <w:numId w:val="3"/>
        </w:numPr>
        <w:spacing w:after="200"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28 projets pilotes accompagnés - Exemples : </w:t>
      </w:r>
    </w:p>
    <w:p w:rsidR="00000000" w:rsidDel="00000000" w:rsidP="00000000" w:rsidRDefault="00000000" w:rsidRPr="00000000" w14:paraId="0000000F">
      <w:pPr>
        <w:numPr>
          <w:ilvl w:val="0"/>
          <w:numId w:val="1"/>
        </w:numPr>
        <w:spacing w:after="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Analyse du non recours au soin pendant le confinement à partir des résumés de passages aux urgences</w:t>
      </w:r>
    </w:p>
    <w:p w:rsidR="00000000" w:rsidDel="00000000" w:rsidP="00000000" w:rsidRDefault="00000000" w:rsidRPr="00000000" w14:paraId="00000010">
      <w:pPr>
        <w:numPr>
          <w:ilvl w:val="0"/>
          <w:numId w:val="1"/>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Etude de l’impact et des traitements sur des données de vie réelle afin d’identifier les meilleurs schémas thérapeutiques pour le traitement du sarcome </w:t>
      </w:r>
    </w:p>
    <w:p w:rsidR="00000000" w:rsidDel="00000000" w:rsidP="00000000" w:rsidRDefault="00000000" w:rsidRPr="00000000" w14:paraId="00000011">
      <w:pPr>
        <w:numPr>
          <w:ilvl w:val="0"/>
          <w:numId w:val="1"/>
        </w:numPr>
        <w:spacing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Evaluation de l’apport de l’IA dans le dépistage organisé du cancer du sein</w:t>
      </w:r>
    </w:p>
    <w:p w:rsidR="00000000" w:rsidDel="00000000" w:rsidP="00000000" w:rsidRDefault="00000000" w:rsidRPr="00000000" w14:paraId="00000012">
      <w:pPr>
        <w:spacing w:line="240"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3">
      <w:pPr>
        <w:spacing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4">
      <w:pPr>
        <w:spacing w:line="240" w:lineRule="auto"/>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15">
      <w:pPr>
        <w:spacing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Plus d'informations sur le Health Data Hub et son équipe sur notre </w:t>
      </w:r>
      <w:hyperlink r:id="rId7">
        <w:r w:rsidDel="00000000" w:rsidR="00000000" w:rsidRPr="00000000">
          <w:rPr>
            <w:rFonts w:ascii="Tahoma" w:cs="Tahoma" w:eastAsia="Tahoma" w:hAnsi="Tahoma"/>
            <w:color w:val="353744"/>
            <w:u w:val="single"/>
            <w:rtl w:val="0"/>
          </w:rPr>
          <w:t xml:space="preserve">site</w:t>
        </w:r>
      </w:hyperlink>
      <w:r w:rsidDel="00000000" w:rsidR="00000000" w:rsidRPr="00000000">
        <w:rPr>
          <w:rFonts w:ascii="Tahoma" w:cs="Tahoma" w:eastAsia="Tahoma" w:hAnsi="Tahoma"/>
          <w:color w:val="353744"/>
          <w:u w:val="single"/>
          <w:rtl w:val="0"/>
        </w:rPr>
        <w:t xml:space="preserve">.</w:t>
      </w:r>
      <w:r w:rsidDel="00000000" w:rsidR="00000000" w:rsidRPr="00000000">
        <w:rPr>
          <w:rtl w:val="0"/>
        </w:rPr>
      </w:r>
    </w:p>
    <w:p w:rsidR="00000000" w:rsidDel="00000000" w:rsidP="00000000" w:rsidRDefault="00000000" w:rsidRPr="00000000" w14:paraId="00000016">
      <w:pPr>
        <w:spacing w:before="480" w:line="240" w:lineRule="auto"/>
        <w:rPr>
          <w:rFonts w:ascii="Proxima Nova" w:cs="Proxima Nova" w:eastAsia="Proxima Nova" w:hAnsi="Proxima Nova"/>
          <w:b w:val="1"/>
          <w:color w:val="353744"/>
          <w:sz w:val="28"/>
          <w:szCs w:val="28"/>
        </w:rPr>
      </w:pPr>
      <w:bookmarkStart w:colFirst="0" w:colLast="0" w:name="_heading=h.tyjcwt" w:id="3"/>
      <w:bookmarkEnd w:id="3"/>
      <w:r w:rsidDel="00000000" w:rsidR="00000000" w:rsidRPr="00000000">
        <w:rPr>
          <w:rtl w:val="0"/>
        </w:rPr>
      </w:r>
    </w:p>
    <w:p w:rsidR="00000000" w:rsidDel="00000000" w:rsidP="00000000" w:rsidRDefault="00000000" w:rsidRPr="00000000" w14:paraId="00000017">
      <w:pPr>
        <w:spacing w:before="480" w:line="240" w:lineRule="auto"/>
        <w:rPr>
          <w:rFonts w:ascii="Tahoma" w:cs="Tahoma" w:eastAsia="Tahoma" w:hAnsi="Tahoma"/>
          <w:b w:val="1"/>
          <w:color w:val="353744"/>
          <w:sz w:val="28"/>
          <w:szCs w:val="28"/>
        </w:rPr>
      </w:pPr>
      <w:bookmarkStart w:colFirst="0" w:colLast="0" w:name="_heading=h.12a3wbvkhzv7" w:id="4"/>
      <w:bookmarkEnd w:id="4"/>
      <w:r w:rsidDel="00000000" w:rsidR="00000000" w:rsidRPr="00000000">
        <w:rPr>
          <w:rtl w:val="0"/>
        </w:rPr>
      </w:r>
    </w:p>
    <w:p w:rsidR="00000000" w:rsidDel="00000000" w:rsidP="00000000" w:rsidRDefault="00000000" w:rsidRPr="00000000" w14:paraId="00000018">
      <w:pPr>
        <w:jc w:val="both"/>
        <w:rPr/>
      </w:pPr>
      <w:r w:rsidDel="00000000" w:rsidR="00000000" w:rsidRPr="00000000">
        <w:rPr>
          <w:rFonts w:ascii="Proxima Nova" w:cs="Proxima Nova" w:eastAsia="Proxima Nova" w:hAnsi="Proxima Nova"/>
          <w:color w:val="353744"/>
          <w:u w:val="singl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9">
      <w:pPr>
        <w:spacing w:line="259" w:lineRule="auto"/>
        <w:jc w:val="both"/>
        <w:rPr>
          <w:rFonts w:ascii="Tahoma" w:cs="Tahoma" w:eastAsia="Tahoma" w:hAnsi="Tahoma"/>
          <w:b w:val="1"/>
        </w:rPr>
      </w:pPr>
      <w:r w:rsidDel="00000000" w:rsidR="00000000" w:rsidRPr="00000000">
        <w:rPr>
          <w:rFonts w:ascii="Tahoma" w:cs="Tahoma" w:eastAsia="Tahoma" w:hAnsi="Tahoma"/>
          <w:b w:val="1"/>
          <w:rtl w:val="0"/>
        </w:rPr>
        <w:t xml:space="preserve">DESCRIPTIF DU POSTE</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La Direction Technique est l’entité du Health Data Hub en charge de la conception, de l’implémentation et de la maintenance de la plateforme technologique. Celle-ci vise à mettre à disposition des porteurs de projets les données de santé pseudonymisées sous haute condition de sécurité dans le respect des droits des citoyens. Son offre logicielle se veut à l'état de l'art. La plateforme doit être un levier d'innovation dans l'écosystème de la donnée de santé français.</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Sous la supervision du responsable des opérations, au sein de la Direction Technique, vous assurerez les missions suivantes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Tahoma" w:cs="Tahoma" w:eastAsia="Tahoma" w:hAnsi="Tahoma"/>
          <w:b w:val="1"/>
          <w:u w:val="single"/>
        </w:rPr>
      </w:pPr>
      <w:r w:rsidDel="00000000" w:rsidR="00000000" w:rsidRPr="00000000">
        <w:rPr>
          <w:rFonts w:ascii="Tahoma" w:cs="Tahoma" w:eastAsia="Tahoma" w:hAnsi="Tahoma"/>
          <w:b w:val="1"/>
          <w:u w:val="single"/>
          <w:rtl w:val="0"/>
        </w:rPr>
        <w:t xml:space="preserve">**Missions**</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 Pilotage et planification du déploiement des versions mineures et majeures de la plateforme technologique ;</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 Pilotage et planification de projets techniques ;</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 Pilotage et planification du cycle de livraison ;</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Tahoma" w:cs="Tahoma" w:eastAsia="Tahoma" w:hAnsi="Tahoma"/>
        </w:rPr>
      </w:pPr>
      <w:sdt>
        <w:sdtPr>
          <w:tag w:val="goog_rdk_0"/>
        </w:sdtPr>
        <w:sdtContent>
          <w:r w:rsidDel="00000000" w:rsidR="00000000" w:rsidRPr="00000000">
            <w:rPr>
              <w:rFonts w:ascii="Arial Unicode MS" w:cs="Arial Unicode MS" w:eastAsia="Arial Unicode MS" w:hAnsi="Arial Unicode MS"/>
              <w:rtl w:val="0"/>
            </w:rPr>
            <w:t xml:space="preserve">○</w:t>
            <w:tab/>
            <w:t xml:space="preserve">Définition de la stratégie de test d’intégration et de qualification ;</w:t>
          </w:r>
        </w:sdtContent>
      </w:sdt>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Tahoma" w:cs="Tahoma" w:eastAsia="Tahoma" w:hAnsi="Tahoma"/>
        </w:rPr>
      </w:pPr>
      <w:sdt>
        <w:sdtPr>
          <w:tag w:val="goog_rdk_1"/>
        </w:sdtPr>
        <w:sdtContent>
          <w:r w:rsidDel="00000000" w:rsidR="00000000" w:rsidRPr="00000000">
            <w:rPr>
              <w:rFonts w:ascii="Arial Unicode MS" w:cs="Arial Unicode MS" w:eastAsia="Arial Unicode MS" w:hAnsi="Arial Unicode MS"/>
              <w:rtl w:val="0"/>
            </w:rPr>
            <w:t xml:space="preserve">○</w:t>
            <w:tab/>
            <w:t xml:space="preserve">Pilotage, planification et réalisation des tests d’intégration et de qualification  sur la plateforme de pré-production ;</w:t>
          </w:r>
        </w:sdtContent>
      </w:sdt>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Tahoma" w:cs="Tahoma" w:eastAsia="Tahoma" w:hAnsi="Tahoma"/>
        </w:rPr>
      </w:pPr>
      <w:sdt>
        <w:sdtPr>
          <w:tag w:val="goog_rdk_2"/>
        </w:sdtPr>
        <w:sdtContent>
          <w:r w:rsidDel="00000000" w:rsidR="00000000" w:rsidRPr="00000000">
            <w:rPr>
              <w:rFonts w:ascii="Arial Unicode MS" w:cs="Arial Unicode MS" w:eastAsia="Arial Unicode MS" w:hAnsi="Arial Unicode MS"/>
              <w:rtl w:val="0"/>
            </w:rPr>
            <w:t xml:space="preserve">○</w:t>
            <w:tab/>
            <w:t xml:space="preserve">Rédaction des plans de tests d'intégration et de qualification en regard du référentiel d'exigences du dossier d’architecture technique ;</w:t>
          </w:r>
        </w:sdtContent>
      </w:sdt>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Tahoma" w:cs="Tahoma" w:eastAsia="Tahoma" w:hAnsi="Tahoma"/>
        </w:rPr>
      </w:pPr>
      <w:sdt>
        <w:sdtPr>
          <w:tag w:val="goog_rdk_3"/>
        </w:sdtPr>
        <w:sdtContent>
          <w:r w:rsidDel="00000000" w:rsidR="00000000" w:rsidRPr="00000000">
            <w:rPr>
              <w:rFonts w:ascii="Arial Unicode MS" w:cs="Arial Unicode MS" w:eastAsia="Arial Unicode MS" w:hAnsi="Arial Unicode MS"/>
              <w:rtl w:val="0"/>
            </w:rPr>
            <w:t xml:space="preserve">○</w:t>
            <w:tab/>
            <w:t xml:space="preserve">Définition du processus de livraison informatique ;</w:t>
          </w:r>
        </w:sdtContent>
      </w:sdt>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Tahoma" w:cs="Tahoma" w:eastAsia="Tahoma" w:hAnsi="Tahoma"/>
        </w:rPr>
      </w:pPr>
      <w:sdt>
        <w:sdtPr>
          <w:tag w:val="goog_rdk_4"/>
        </w:sdtPr>
        <w:sdtContent>
          <w:r w:rsidDel="00000000" w:rsidR="00000000" w:rsidRPr="00000000">
            <w:rPr>
              <w:rFonts w:ascii="Arial Unicode MS" w:cs="Arial Unicode MS" w:eastAsia="Arial Unicode MS" w:hAnsi="Arial Unicode MS"/>
              <w:rtl w:val="0"/>
            </w:rPr>
            <w:t xml:space="preserve">○</w:t>
            <w:tab/>
            <w:t xml:space="preserve">Mise en place des indicateurs et de suivi relatifs à une mise en production ;</w:t>
          </w:r>
        </w:sdtContent>
      </w:sdt>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 Mise en place et évolution d’un environnement de tests automatisé ;</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Tahoma" w:cs="Tahoma" w:eastAsia="Tahoma" w:hAnsi="Tahoma"/>
        </w:rPr>
      </w:pPr>
      <w:sdt>
        <w:sdtPr>
          <w:tag w:val="goog_rdk_5"/>
        </w:sdtPr>
        <w:sdtContent>
          <w:r w:rsidDel="00000000" w:rsidR="00000000" w:rsidRPr="00000000">
            <w:rPr>
              <w:rFonts w:ascii="Arial Unicode MS" w:cs="Arial Unicode MS" w:eastAsia="Arial Unicode MS" w:hAnsi="Arial Unicode MS"/>
              <w:rtl w:val="0"/>
            </w:rPr>
            <w:t xml:space="preserve">○</w:t>
            <w:tab/>
            <w:t xml:space="preserve">Cadrage/conception ;</w:t>
          </w:r>
        </w:sdtContent>
      </w:sdt>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Tahoma" w:cs="Tahoma" w:eastAsia="Tahoma" w:hAnsi="Tahoma"/>
        </w:rPr>
      </w:pPr>
      <w:sdt>
        <w:sdtPr>
          <w:tag w:val="goog_rdk_6"/>
        </w:sdtPr>
        <w:sdtContent>
          <w:r w:rsidDel="00000000" w:rsidR="00000000" w:rsidRPr="00000000">
            <w:rPr>
              <w:rFonts w:ascii="Arial Unicode MS" w:cs="Arial Unicode MS" w:eastAsia="Arial Unicode MS" w:hAnsi="Arial Unicode MS"/>
              <w:rtl w:val="0"/>
            </w:rPr>
            <w:t xml:space="preserve">○</w:t>
            <w:tab/>
            <w:t xml:space="preserve">Développement ;</w:t>
          </w:r>
        </w:sdtContent>
      </w:sdt>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Tahoma" w:cs="Tahoma" w:eastAsia="Tahoma" w:hAnsi="Tahoma"/>
        </w:rPr>
      </w:pPr>
      <w:sdt>
        <w:sdtPr>
          <w:tag w:val="goog_rdk_7"/>
        </w:sdtPr>
        <w:sdtContent>
          <w:r w:rsidDel="00000000" w:rsidR="00000000" w:rsidRPr="00000000">
            <w:rPr>
              <w:rFonts w:ascii="Arial Unicode MS" w:cs="Arial Unicode MS" w:eastAsia="Arial Unicode MS" w:hAnsi="Arial Unicode MS"/>
              <w:rtl w:val="0"/>
            </w:rPr>
            <w:t xml:space="preserve">○</w:t>
            <w:tab/>
            <w:t xml:space="preserve">Documentation ;</w:t>
          </w:r>
        </w:sdtContent>
      </w:sdt>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Tahoma" w:cs="Tahoma" w:eastAsia="Tahoma" w:hAnsi="Tahoma"/>
        </w:rPr>
      </w:pPr>
      <w:sdt>
        <w:sdtPr>
          <w:tag w:val="goog_rdk_8"/>
        </w:sdtPr>
        <w:sdtContent>
          <w:r w:rsidDel="00000000" w:rsidR="00000000" w:rsidRPr="00000000">
            <w:rPr>
              <w:rFonts w:ascii="Arial Unicode MS" w:cs="Arial Unicode MS" w:eastAsia="Arial Unicode MS" w:hAnsi="Arial Unicode MS"/>
              <w:rtl w:val="0"/>
            </w:rPr>
            <w:t xml:space="preserve">○</w:t>
            <w:tab/>
            <w:t xml:space="preserve">Gestion du référentiel de tests automatisés ;</w:t>
          </w:r>
        </w:sdtContent>
      </w:sdt>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 Remontée des demandes de bugs / corrections ;</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Tahoma" w:cs="Tahoma" w:eastAsia="Tahoma" w:hAnsi="Tahoma"/>
        </w:rPr>
      </w:pPr>
      <w:sdt>
        <w:sdtPr>
          <w:tag w:val="goog_rdk_9"/>
        </w:sdtPr>
        <w:sdtContent>
          <w:r w:rsidDel="00000000" w:rsidR="00000000" w:rsidRPr="00000000">
            <w:rPr>
              <w:rFonts w:ascii="Arial Unicode MS" w:cs="Arial Unicode MS" w:eastAsia="Arial Unicode MS" w:hAnsi="Arial Unicode MS"/>
              <w:rtl w:val="0"/>
            </w:rPr>
            <w:t xml:space="preserve">○</w:t>
            <w:tab/>
            <w:t xml:space="preserve">Qualification des demandes de correction remontées par les équipes d’opérations, priorisation, suivi et transmission au Product Owner et à l’équipe de développement ;</w:t>
          </w:r>
        </w:sdtContent>
      </w:sdt>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Tahoma" w:cs="Tahoma" w:eastAsia="Tahoma" w:hAnsi="Tahoma"/>
        </w:rPr>
      </w:pPr>
      <w:sdt>
        <w:sdtPr>
          <w:tag w:val="goog_rdk_10"/>
        </w:sdtPr>
        <w:sdtContent>
          <w:r w:rsidDel="00000000" w:rsidR="00000000" w:rsidRPr="00000000">
            <w:rPr>
              <w:rFonts w:ascii="Arial Unicode MS" w:cs="Arial Unicode MS" w:eastAsia="Arial Unicode MS" w:hAnsi="Arial Unicode MS"/>
              <w:rtl w:val="0"/>
            </w:rPr>
            <w:t xml:space="preserve">○</w:t>
            <w:tab/>
            <w:t xml:space="preserve">Mise en place des indicateurs de suivi de la qualification et de la priorisation des demandes de corrections ;</w:t>
          </w:r>
        </w:sdtContent>
      </w:sdt>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 Reporting et production des KPI ;</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Tahoma" w:cs="Tahoma" w:eastAsia="Tahoma" w:hAnsi="Tahoma"/>
        </w:rPr>
      </w:pPr>
      <w:sdt>
        <w:sdtPr>
          <w:tag w:val="goog_rdk_11"/>
        </w:sdtPr>
        <w:sdtContent>
          <w:r w:rsidDel="00000000" w:rsidR="00000000" w:rsidRPr="00000000">
            <w:rPr>
              <w:rFonts w:ascii="Arial Unicode MS" w:cs="Arial Unicode MS" w:eastAsia="Arial Unicode MS" w:hAnsi="Arial Unicode MS"/>
              <w:rtl w:val="0"/>
            </w:rPr>
            <w:t xml:space="preserve">○</w:t>
            <w:tab/>
            <w:t xml:space="preserve">Définition des principaux KPI ;</w:t>
          </w:r>
        </w:sdtContent>
      </w:sdt>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Tahoma" w:cs="Tahoma" w:eastAsia="Tahoma" w:hAnsi="Tahoma"/>
        </w:rPr>
      </w:pPr>
      <w:sdt>
        <w:sdtPr>
          <w:tag w:val="goog_rdk_12"/>
        </w:sdtPr>
        <w:sdtContent>
          <w:r w:rsidDel="00000000" w:rsidR="00000000" w:rsidRPr="00000000">
            <w:rPr>
              <w:rFonts w:ascii="Arial Unicode MS" w:cs="Arial Unicode MS" w:eastAsia="Arial Unicode MS" w:hAnsi="Arial Unicode MS"/>
              <w:rtl w:val="0"/>
            </w:rPr>
            <w:t xml:space="preserve">○</w:t>
            <w:tab/>
            <w:t xml:space="preserve">Proposition d’évolution des KPI en fonctions des objectifs définis ;</w:t>
          </w:r>
        </w:sdtContent>
      </w:sdt>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Fonts w:ascii="Tahoma" w:cs="Tahoma" w:eastAsia="Tahoma" w:hAnsi="Tahoma"/>
          <w:rtl w:val="0"/>
        </w:rPr>
        <w:t xml:space="preserve">* Gestion des assets (licences, crédits).</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Tahoma" w:cs="Tahoma" w:eastAsia="Tahoma" w:hAnsi="Tahoma"/>
        </w:rPr>
      </w:pPr>
      <w:r w:rsidDel="00000000" w:rsidR="00000000" w:rsidRPr="00000000">
        <w:rPr>
          <w:rtl w:val="0"/>
        </w:rPr>
      </w:r>
    </w:p>
    <w:p w:rsidR="00000000" w:rsidDel="00000000" w:rsidP="00000000" w:rsidRDefault="00000000" w:rsidRPr="00000000" w14:paraId="00000036">
      <w:pPr>
        <w:spacing w:line="259" w:lineRule="auto"/>
        <w:jc w:val="both"/>
        <w:rPr>
          <w:rFonts w:ascii="Tahoma" w:cs="Tahoma" w:eastAsia="Tahoma" w:hAnsi="Tahoma"/>
          <w:b w:val="1"/>
        </w:rPr>
      </w:pPr>
      <w:r w:rsidDel="00000000" w:rsidR="00000000" w:rsidRPr="00000000">
        <w:rPr>
          <w:rFonts w:ascii="Tahoma" w:cs="Tahoma" w:eastAsia="Tahoma" w:hAnsi="Tahoma"/>
          <w:b w:val="1"/>
          <w:rtl w:val="0"/>
        </w:rPr>
        <w:t xml:space="preserve">PROFIL RECHERCHÉ</w:t>
      </w:r>
    </w:p>
    <w:p w:rsidR="00000000" w:rsidDel="00000000" w:rsidP="00000000" w:rsidRDefault="00000000" w:rsidRPr="00000000" w14:paraId="00000037">
      <w:pPr>
        <w:spacing w:after="240" w:before="240" w:line="259" w:lineRule="auto"/>
        <w:jc w:val="both"/>
        <w:rPr>
          <w:rFonts w:ascii="Tahoma" w:cs="Tahoma" w:eastAsia="Tahoma" w:hAnsi="Tahoma"/>
        </w:rPr>
      </w:pPr>
      <w:r w:rsidDel="00000000" w:rsidR="00000000" w:rsidRPr="00000000">
        <w:rPr>
          <w:rFonts w:ascii="Tahoma" w:cs="Tahoma" w:eastAsia="Tahoma" w:hAnsi="Tahoma"/>
          <w:b w:val="1"/>
          <w:rtl w:val="0"/>
        </w:rPr>
        <w:t xml:space="preserve">Compétences techniques</w:t>
      </w:r>
      <w:r w:rsidDel="00000000" w:rsidR="00000000" w:rsidRPr="00000000">
        <w:rPr>
          <w:rtl w:val="0"/>
        </w:rPr>
      </w:r>
    </w:p>
    <w:p w:rsidR="00000000" w:rsidDel="00000000" w:rsidP="00000000" w:rsidRDefault="00000000" w:rsidRPr="00000000" w14:paraId="00000038">
      <w:pPr>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5 ans d’expérience dans la gestion de livraison informatiques en mode agile (une première expérience significative sur le Cloud est un plus) ;</w:t>
      </w:r>
    </w:p>
    <w:p w:rsidR="00000000" w:rsidDel="00000000" w:rsidP="00000000" w:rsidRDefault="00000000" w:rsidRPr="00000000" w14:paraId="00000039">
      <w:pPr>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Maîtrise des bonnes pratiques de sécurité (ex : gestion des secrets) ;</w:t>
      </w:r>
    </w:p>
    <w:p w:rsidR="00000000" w:rsidDel="00000000" w:rsidP="00000000" w:rsidRDefault="00000000" w:rsidRPr="00000000" w14:paraId="0000003A">
      <w:pPr>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Maîtrise des principes Agiles et des outils associés ; </w:t>
      </w:r>
    </w:p>
    <w:p w:rsidR="00000000" w:rsidDel="00000000" w:rsidP="00000000" w:rsidRDefault="00000000" w:rsidRPr="00000000" w14:paraId="0000003B">
      <w:pPr>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CI/CD ;</w:t>
      </w:r>
    </w:p>
    <w:p w:rsidR="00000000" w:rsidDel="00000000" w:rsidP="00000000" w:rsidRDefault="00000000" w:rsidRPr="00000000" w14:paraId="0000003C">
      <w:pPr>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Connaissance des concepts d'Infrastructure as Code ;</w:t>
      </w:r>
    </w:p>
    <w:p w:rsidR="00000000" w:rsidDel="00000000" w:rsidP="00000000" w:rsidRDefault="00000000" w:rsidRPr="00000000" w14:paraId="0000003D">
      <w:pPr>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Connaissances fonctionnelles en architecture et technologies de systèmes distribués, utilisées notamment dans le cadre de projets en science des données ;</w:t>
      </w:r>
    </w:p>
    <w:p w:rsidR="00000000" w:rsidDel="00000000" w:rsidP="00000000" w:rsidRDefault="00000000" w:rsidRPr="00000000" w14:paraId="0000003E">
      <w:pPr>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Gestes d’opération basique d’outils technologiques (mise à jour, paramétrage, gestion de droit).</w:t>
      </w:r>
    </w:p>
    <w:p w:rsidR="00000000" w:rsidDel="00000000" w:rsidP="00000000" w:rsidRDefault="00000000" w:rsidRPr="00000000" w14:paraId="0000003F">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0">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1">
      <w:pPr>
        <w:pStyle w:val="Heading3"/>
        <w:rPr>
          <w:rFonts w:ascii="Tahoma" w:cs="Tahoma" w:eastAsia="Tahoma" w:hAnsi="Tahoma"/>
          <w:color w:val="000000"/>
          <w:sz w:val="22"/>
          <w:szCs w:val="22"/>
        </w:rPr>
      </w:pPr>
      <w:bookmarkStart w:colFirst="0" w:colLast="0" w:name="_heading=h.3dy6vkm" w:id="5"/>
      <w:bookmarkEnd w:id="5"/>
      <w:r w:rsidDel="00000000" w:rsidR="00000000" w:rsidRPr="00000000">
        <w:rPr>
          <w:rFonts w:ascii="Tahoma" w:cs="Tahoma" w:eastAsia="Tahoma" w:hAnsi="Tahoma"/>
          <w:b w:val="1"/>
          <w:color w:val="000000"/>
          <w:sz w:val="22"/>
          <w:szCs w:val="22"/>
          <w:rtl w:val="0"/>
        </w:rPr>
        <w:t xml:space="preserve">Compétences personnelles et relationnelles</w:t>
      </w:r>
      <w:r w:rsidDel="00000000" w:rsidR="00000000" w:rsidRPr="00000000">
        <w:rPr>
          <w:rtl w:val="0"/>
        </w:rPr>
      </w:r>
    </w:p>
    <w:p w:rsidR="00000000" w:rsidDel="00000000" w:rsidP="00000000" w:rsidRDefault="00000000" w:rsidRPr="00000000" w14:paraId="00000042">
      <w:pPr>
        <w:numPr>
          <w:ilvl w:val="0"/>
          <w:numId w:val="5"/>
        </w:numPr>
        <w:ind w:left="720" w:hanging="360"/>
        <w:jc w:val="both"/>
        <w:rPr>
          <w:rFonts w:ascii="Tahoma" w:cs="Tahoma" w:eastAsia="Tahoma" w:hAnsi="Tahoma"/>
        </w:rPr>
      </w:pPr>
      <w:r w:rsidDel="00000000" w:rsidR="00000000" w:rsidRPr="00000000">
        <w:rPr>
          <w:rFonts w:ascii="Tahoma" w:cs="Tahoma" w:eastAsia="Tahoma" w:hAnsi="Tahoma"/>
          <w:rtl w:val="0"/>
        </w:rPr>
        <w:t xml:space="preserve">Vous êtes exigeant et vous excellez dans ce que vous faites ;</w:t>
      </w:r>
    </w:p>
    <w:p w:rsidR="00000000" w:rsidDel="00000000" w:rsidP="00000000" w:rsidRDefault="00000000" w:rsidRPr="00000000" w14:paraId="00000043">
      <w:pPr>
        <w:numPr>
          <w:ilvl w:val="0"/>
          <w:numId w:val="5"/>
        </w:numPr>
        <w:ind w:left="720" w:hanging="360"/>
        <w:jc w:val="both"/>
        <w:rPr>
          <w:rFonts w:ascii="Tahoma" w:cs="Tahoma" w:eastAsia="Tahoma" w:hAnsi="Tahoma"/>
        </w:rPr>
      </w:pPr>
      <w:r w:rsidDel="00000000" w:rsidR="00000000" w:rsidRPr="00000000">
        <w:rPr>
          <w:rFonts w:ascii="Tahoma" w:cs="Tahoma" w:eastAsia="Tahoma" w:hAnsi="Tahoma"/>
          <w:rtl w:val="0"/>
        </w:rPr>
        <w:t xml:space="preserve">Vous faites preuve d’une excellente qualité d’organisation, de planification et de rigueur.</w:t>
      </w:r>
    </w:p>
    <w:p w:rsidR="00000000" w:rsidDel="00000000" w:rsidP="00000000" w:rsidRDefault="00000000" w:rsidRPr="00000000" w14:paraId="00000044">
      <w:pPr>
        <w:numPr>
          <w:ilvl w:val="0"/>
          <w:numId w:val="5"/>
        </w:numPr>
        <w:ind w:left="720" w:hanging="360"/>
        <w:jc w:val="both"/>
        <w:rPr>
          <w:rFonts w:ascii="Tahoma" w:cs="Tahoma" w:eastAsia="Tahoma" w:hAnsi="Tahoma"/>
        </w:rPr>
      </w:pPr>
      <w:r w:rsidDel="00000000" w:rsidR="00000000" w:rsidRPr="00000000">
        <w:rPr>
          <w:rFonts w:ascii="Tahoma" w:cs="Tahoma" w:eastAsia="Tahoma" w:hAnsi="Tahoma"/>
          <w:rtl w:val="0"/>
        </w:rPr>
        <w:t xml:space="preserve">Vous faites preuve d’autonomie ;</w:t>
      </w:r>
    </w:p>
    <w:p w:rsidR="00000000" w:rsidDel="00000000" w:rsidP="00000000" w:rsidRDefault="00000000" w:rsidRPr="00000000" w14:paraId="00000045">
      <w:pPr>
        <w:numPr>
          <w:ilvl w:val="0"/>
          <w:numId w:val="5"/>
        </w:numPr>
        <w:ind w:left="720" w:hanging="360"/>
        <w:jc w:val="both"/>
        <w:rPr>
          <w:rFonts w:ascii="Tahoma" w:cs="Tahoma" w:eastAsia="Tahoma" w:hAnsi="Tahoma"/>
        </w:rPr>
      </w:pPr>
      <w:r w:rsidDel="00000000" w:rsidR="00000000" w:rsidRPr="00000000">
        <w:rPr>
          <w:rFonts w:ascii="Tahoma" w:cs="Tahoma" w:eastAsia="Tahoma" w:hAnsi="Tahoma"/>
          <w:rtl w:val="0"/>
        </w:rPr>
        <w:t xml:space="preserve">Vous avez le goût du travail en équipe ;</w:t>
      </w:r>
    </w:p>
    <w:p w:rsidR="00000000" w:rsidDel="00000000" w:rsidP="00000000" w:rsidRDefault="00000000" w:rsidRPr="00000000" w14:paraId="00000046">
      <w:pPr>
        <w:numPr>
          <w:ilvl w:val="0"/>
          <w:numId w:val="5"/>
        </w:numPr>
        <w:ind w:left="720" w:hanging="360"/>
        <w:jc w:val="both"/>
        <w:rPr>
          <w:rFonts w:ascii="Tahoma" w:cs="Tahoma" w:eastAsia="Tahoma" w:hAnsi="Tahoma"/>
        </w:rPr>
      </w:pPr>
      <w:r w:rsidDel="00000000" w:rsidR="00000000" w:rsidRPr="00000000">
        <w:rPr>
          <w:rFonts w:ascii="Tahoma" w:cs="Tahoma" w:eastAsia="Tahoma" w:hAnsi="Tahoma"/>
          <w:rtl w:val="0"/>
        </w:rPr>
        <w:t xml:space="preserve">Vous disposez d’une grande capacité d’écoute pour recueillir les besoins des utilisateurs ;</w:t>
      </w:r>
    </w:p>
    <w:p w:rsidR="00000000" w:rsidDel="00000000" w:rsidP="00000000" w:rsidRDefault="00000000" w:rsidRPr="00000000" w14:paraId="00000047">
      <w:pPr>
        <w:numPr>
          <w:ilvl w:val="0"/>
          <w:numId w:val="5"/>
        </w:numPr>
        <w:ind w:left="720" w:hanging="360"/>
        <w:jc w:val="both"/>
        <w:rPr>
          <w:rFonts w:ascii="Tahoma" w:cs="Tahoma" w:eastAsia="Tahoma" w:hAnsi="Tahoma"/>
        </w:rPr>
      </w:pPr>
      <w:r w:rsidDel="00000000" w:rsidR="00000000" w:rsidRPr="00000000">
        <w:rPr>
          <w:rFonts w:ascii="Tahoma" w:cs="Tahoma" w:eastAsia="Tahoma" w:hAnsi="Tahoma"/>
          <w:rtl w:val="0"/>
        </w:rPr>
        <w:t xml:space="preserve">Vous disposez de grandes qualités d’expression écrite et orale.</w:t>
      </w:r>
    </w:p>
    <w:p w:rsidR="00000000" w:rsidDel="00000000" w:rsidP="00000000" w:rsidRDefault="00000000" w:rsidRPr="00000000" w14:paraId="00000048">
      <w:pPr>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9">
      <w:pPr>
        <w:jc w:val="both"/>
        <w:rPr>
          <w:rFonts w:ascii="Tahoma" w:cs="Tahoma" w:eastAsia="Tahoma" w:hAnsi="Tahoma"/>
        </w:rPr>
      </w:pPr>
      <w:r w:rsidDel="00000000" w:rsidR="00000000" w:rsidRPr="00000000">
        <w:rPr>
          <w:rtl w:val="0"/>
        </w:rPr>
      </w:r>
    </w:p>
    <w:p w:rsidR="00000000" w:rsidDel="00000000" w:rsidP="00000000" w:rsidRDefault="00000000" w:rsidRPr="00000000" w14:paraId="0000004A">
      <w:pPr>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POURQUOI CHOISIR LE HEALTH DATA HUB ?</w:t>
      </w:r>
    </w:p>
    <w:p w:rsidR="00000000" w:rsidDel="00000000" w:rsidP="00000000" w:rsidRDefault="00000000" w:rsidRPr="00000000" w14:paraId="0000004B">
      <w:pPr>
        <w:spacing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4C">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Mettre ses compétences au service de l’intérêt général</w:t>
      </w:r>
    </w:p>
    <w:p w:rsidR="00000000" w:rsidDel="00000000" w:rsidP="00000000" w:rsidRDefault="00000000" w:rsidRPr="00000000" w14:paraId="0000004D">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Intégrer une équipe jeune, dynamique et pluridisciplinaire</w:t>
      </w:r>
    </w:p>
    <w:p w:rsidR="00000000" w:rsidDel="00000000" w:rsidP="00000000" w:rsidRDefault="00000000" w:rsidRPr="00000000" w14:paraId="0000004E">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Intégrer une structure en forte croissance et avec de nombreuses possibilités d’évolution</w:t>
      </w:r>
    </w:p>
    <w:p w:rsidR="00000000" w:rsidDel="00000000" w:rsidP="00000000" w:rsidRDefault="00000000" w:rsidRPr="00000000" w14:paraId="0000004F">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Évoluer dans un environnement technologique stimulant, varié et à l’état de l’art</w:t>
      </w:r>
    </w:p>
    <w:p w:rsidR="00000000" w:rsidDel="00000000" w:rsidP="00000000" w:rsidRDefault="00000000" w:rsidRPr="00000000" w14:paraId="00000050">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Rémunération attractive et compétitive</w:t>
      </w:r>
    </w:p>
    <w:p w:rsidR="00000000" w:rsidDel="00000000" w:rsidP="00000000" w:rsidRDefault="00000000" w:rsidRPr="00000000" w14:paraId="00000051">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Des bureaux au coeur de Paris</w:t>
      </w:r>
    </w:p>
    <w:p w:rsidR="00000000" w:rsidDel="00000000" w:rsidP="00000000" w:rsidRDefault="00000000" w:rsidRPr="00000000" w14:paraId="00000052">
      <w:pPr>
        <w:spacing w:line="259" w:lineRule="auto"/>
        <w:ind w:left="720" w:firstLine="0"/>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53">
      <w:pPr>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PROCÉDURE DE RECRUTEMENT</w:t>
      </w:r>
    </w:p>
    <w:p w:rsidR="00000000" w:rsidDel="00000000" w:rsidP="00000000" w:rsidRDefault="00000000" w:rsidRPr="00000000" w14:paraId="00000054">
      <w:pPr>
        <w:spacing w:line="259"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Après avoir postulé, le recrutement se déroulera de la manière suivante : </w:t>
      </w:r>
    </w:p>
    <w:p w:rsidR="00000000" w:rsidDel="00000000" w:rsidP="00000000" w:rsidRDefault="00000000" w:rsidRPr="00000000" w14:paraId="00000055">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premier entretien avec le directeur de l’équipe</w:t>
      </w:r>
    </w:p>
    <w:p w:rsidR="00000000" w:rsidDel="00000000" w:rsidP="00000000" w:rsidRDefault="00000000" w:rsidRPr="00000000" w14:paraId="00000056">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test à réaliser chez soi</w:t>
      </w:r>
    </w:p>
    <w:p w:rsidR="00000000" w:rsidDel="00000000" w:rsidP="00000000" w:rsidRDefault="00000000" w:rsidRPr="00000000" w14:paraId="00000057">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entretien technique, basé sur le test</w:t>
      </w:r>
    </w:p>
    <w:p w:rsidR="00000000" w:rsidDel="00000000" w:rsidP="00000000" w:rsidRDefault="00000000" w:rsidRPr="00000000" w14:paraId="00000058">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entretien final avec la directrice du Health Data Hub </w:t>
      </w:r>
      <w:r w:rsidDel="00000000" w:rsidR="00000000" w:rsidRPr="00000000">
        <w:rPr>
          <w:rtl w:val="0"/>
        </w:rPr>
      </w:r>
    </w:p>
    <w:p w:rsidR="00000000" w:rsidDel="00000000" w:rsidP="00000000" w:rsidRDefault="00000000" w:rsidRPr="00000000" w14:paraId="00000059">
      <w:pPr>
        <w:tabs>
          <w:tab w:val="right" w:pos="8010"/>
        </w:tabs>
        <w:spacing w:line="240" w:lineRule="auto"/>
        <w:jc w:val="both"/>
        <w:rPr>
          <w:rFonts w:ascii="Tahoma" w:cs="Tahoma" w:eastAsia="Tahoma" w:hAnsi="Tahoma"/>
          <w:b w:val="1"/>
          <w:color w:val="036287"/>
          <w:sz w:val="28"/>
          <w:szCs w:val="28"/>
        </w:rPr>
      </w:pPr>
      <w:bookmarkStart w:colFirst="0" w:colLast="0" w:name="_heading=h.vj2webffagns" w:id="6"/>
      <w:bookmarkEnd w:id="6"/>
      <w:r w:rsidDel="00000000" w:rsidR="00000000" w:rsidRPr="00000000">
        <w:rPr>
          <w:rtl w:val="0"/>
        </w:rPr>
      </w:r>
    </w:p>
    <w:p w:rsidR="00000000" w:rsidDel="00000000" w:rsidP="00000000" w:rsidRDefault="00000000" w:rsidRPr="00000000" w14:paraId="0000005A">
      <w:pPr>
        <w:tabs>
          <w:tab w:val="right" w:pos="8010"/>
        </w:tabs>
        <w:spacing w:line="240" w:lineRule="auto"/>
        <w:jc w:val="both"/>
        <w:rPr>
          <w:rFonts w:ascii="Tahoma" w:cs="Tahoma" w:eastAsia="Tahoma" w:hAnsi="Tahoma"/>
          <w:b w:val="1"/>
          <w:color w:val="036287"/>
        </w:rPr>
      </w:pPr>
      <w:bookmarkStart w:colFirst="0" w:colLast="0" w:name="_heading=h.404x08l3zyr5" w:id="7"/>
      <w:bookmarkEnd w:id="7"/>
      <w:r w:rsidDel="00000000" w:rsidR="00000000" w:rsidRPr="00000000">
        <w:rPr>
          <w:rFonts w:ascii="Tahoma" w:cs="Tahoma" w:eastAsia="Tahoma" w:hAnsi="Tahoma"/>
          <w:b w:val="1"/>
          <w:color w:val="036287"/>
          <w:rtl w:val="0"/>
        </w:rPr>
        <w:t xml:space="preserve">Pour postuler </w:t>
      </w:r>
    </w:p>
    <w:p w:rsidR="00000000" w:rsidDel="00000000" w:rsidP="00000000" w:rsidRDefault="00000000" w:rsidRPr="00000000" w14:paraId="0000005B">
      <w:pPr>
        <w:tabs>
          <w:tab w:val="right" w:pos="8010"/>
        </w:tabs>
        <w:spacing w:line="240" w:lineRule="auto"/>
        <w:rPr>
          <w:rFonts w:ascii="Tahoma" w:cs="Tahoma" w:eastAsia="Tahoma" w:hAnsi="Tahoma"/>
          <w:sz w:val="22"/>
          <w:szCs w:val="22"/>
        </w:rPr>
      </w:pPr>
      <w:r w:rsidDel="00000000" w:rsidR="00000000" w:rsidRPr="00000000">
        <w:rPr>
          <w:rFonts w:ascii="Tahoma" w:cs="Tahoma" w:eastAsia="Tahoma" w:hAnsi="Tahoma"/>
          <w:highlight w:val="white"/>
          <w:rtl w:val="0"/>
        </w:rPr>
        <w:t xml:space="preserve">CV et lettre de motivation à l’adresse</w:t>
      </w:r>
      <w:r w:rsidDel="00000000" w:rsidR="00000000" w:rsidRPr="00000000">
        <w:rPr>
          <w:rFonts w:ascii="Tahoma" w:cs="Tahoma" w:eastAsia="Tahoma" w:hAnsi="Tahoma"/>
          <w:b w:val="1"/>
          <w:color w:val="353744"/>
          <w:sz w:val="24"/>
          <w:szCs w:val="24"/>
          <w:rtl w:val="0"/>
        </w:rPr>
        <w:t xml:space="preserve">: </w:t>
      </w:r>
      <w:r w:rsidDel="00000000" w:rsidR="00000000" w:rsidRPr="00000000">
        <w:rPr>
          <w:rFonts w:ascii="Tahoma" w:cs="Tahoma" w:eastAsia="Tahoma" w:hAnsi="Tahoma"/>
          <w:b w:val="1"/>
          <w:sz w:val="22"/>
          <w:szCs w:val="22"/>
          <w:rtl w:val="0"/>
        </w:rPr>
        <w:t xml:space="preserve"> jobs.technique@health-data-hub.fr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data-hub.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FmAiN8Ws7wffZTgLkBi2+RkBA==">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2021-07-22T15:26:00Z</dcterms:created>
</cp:coreProperties>
</file>