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after="0" w:line="240" w:lineRule="auto"/>
        <w:rPr>
          <w:rFonts w:ascii="Tahoma" w:cs="Tahoma" w:eastAsia="Tahoma" w:hAnsi="Tahoma"/>
          <w:b w:val="1"/>
          <w:color w:val="036287"/>
          <w:sz w:val="28"/>
          <w:szCs w:val="28"/>
        </w:rPr>
      </w:pPr>
      <w:bookmarkStart w:colFirst="0" w:colLast="0" w:name="_ymdz5fxnr8uc"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36287"/>
          <w:sz w:val="36"/>
          <w:szCs w:val="36"/>
        </w:rPr>
      </w:pPr>
      <w:r w:rsidDel="00000000" w:rsidR="00000000" w:rsidRPr="00000000">
        <w:rPr>
          <w:rFonts w:ascii="Tahoma" w:cs="Tahoma" w:eastAsia="Tahoma" w:hAnsi="Tahoma"/>
          <w:b w:val="1"/>
          <w:color w:val="036287"/>
          <w:sz w:val="36"/>
          <w:szCs w:val="36"/>
          <w:rtl w:val="0"/>
        </w:rPr>
        <w:t xml:space="preserve">Architecte technique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353744"/>
          <w:sz w:val="28"/>
          <w:szCs w:val="28"/>
        </w:rPr>
      </w:pPr>
      <w:r w:rsidDel="00000000" w:rsidR="00000000" w:rsidRPr="00000000">
        <w:rPr>
          <w:rFonts w:ascii="Tahoma" w:cs="Tahoma" w:eastAsia="Tahoma" w:hAnsi="Tahoma"/>
          <w:b w:val="1"/>
          <w:color w:val="036287"/>
          <w:sz w:val="28"/>
          <w:szCs w:val="28"/>
          <w:rtl w:val="0"/>
        </w:rPr>
        <w:t xml:space="preserve">Direction technique du HDH</w:t>
      </w:r>
      <w:r w:rsidDel="00000000" w:rsidR="00000000" w:rsidRPr="00000000">
        <w:rPr>
          <w:rtl w:val="0"/>
        </w:rPr>
      </w:r>
    </w:p>
    <w:p w:rsidR="00000000" w:rsidDel="00000000" w:rsidP="00000000" w:rsidRDefault="00000000" w:rsidRPr="00000000" w14:paraId="00000004">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353744"/>
          <w:sz w:val="20"/>
          <w:szCs w:val="20"/>
        </w:rPr>
      </w:pPr>
      <w:bookmarkStart w:colFirst="0" w:colLast="0" w:name="_dzzumptgm6do" w:id="1"/>
      <w:bookmarkEnd w:id="1"/>
      <w:r w:rsidDel="00000000" w:rsidR="00000000" w:rsidRPr="00000000">
        <w:rPr>
          <w:rtl w:val="0"/>
        </w:rPr>
      </w:r>
    </w:p>
    <w:p w:rsidR="00000000" w:rsidDel="00000000" w:rsidP="00000000" w:rsidRDefault="00000000" w:rsidRPr="00000000" w14:paraId="00000005">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Contrat – CDI, temps plein</w:t>
      </w:r>
    </w:p>
    <w:p w:rsidR="00000000" w:rsidDel="00000000" w:rsidP="00000000" w:rsidRDefault="00000000" w:rsidRPr="00000000" w14:paraId="00000006">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Rémunération – selon expérience et profil</w:t>
      </w:r>
    </w:p>
    <w:p w:rsidR="00000000" w:rsidDel="00000000" w:rsidP="00000000" w:rsidRDefault="00000000" w:rsidRPr="00000000" w14:paraId="00000007">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Date de début – dès que possible</w:t>
      </w:r>
    </w:p>
    <w:p w:rsidR="00000000" w:rsidDel="00000000" w:rsidP="00000000" w:rsidRDefault="00000000" w:rsidRPr="00000000" w14:paraId="00000008">
      <w:pPr>
        <w:tabs>
          <w:tab w:val="left" w:pos="284"/>
        </w:tabs>
        <w:spacing w:line="240" w:lineRule="auto"/>
        <w:jc w:val="both"/>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9">
      <w:pPr>
        <w:spacing w:after="200" w:before="480" w:line="240" w:lineRule="auto"/>
        <w:rPr>
          <w:rFonts w:ascii="Tahoma" w:cs="Tahoma" w:eastAsia="Tahoma" w:hAnsi="Tahoma"/>
          <w:b w:val="1"/>
          <w:color w:val="353744"/>
          <w:sz w:val="28"/>
          <w:szCs w:val="28"/>
        </w:rPr>
      </w:pPr>
      <w:bookmarkStart w:colFirst="0" w:colLast="0" w:name="_2et92p0" w:id="2"/>
      <w:bookmarkEnd w:id="2"/>
      <w:r w:rsidDel="00000000" w:rsidR="00000000" w:rsidRPr="00000000">
        <w:rPr>
          <w:rFonts w:ascii="Tahoma" w:cs="Tahoma" w:eastAsia="Tahoma" w:hAnsi="Tahoma"/>
          <w:b w:val="1"/>
          <w:color w:val="353744"/>
          <w:sz w:val="28"/>
          <w:szCs w:val="28"/>
          <w:rtl w:val="0"/>
        </w:rPr>
        <w:t xml:space="preserve">LE HEALTH DATA HUB</w:t>
      </w:r>
    </w:p>
    <w:p w:rsidR="00000000" w:rsidDel="00000000" w:rsidP="00000000" w:rsidRDefault="00000000" w:rsidRPr="00000000" w14:paraId="0000000A">
      <w:pPr>
        <w:spacing w:after="240" w:before="20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 </w:t>
      </w:r>
    </w:p>
    <w:p w:rsidR="00000000" w:rsidDel="00000000" w:rsidP="00000000" w:rsidRDefault="00000000" w:rsidRPr="00000000" w14:paraId="0000000B">
      <w:pPr>
        <w:spacing w:after="16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c’est : </w:t>
      </w:r>
    </w:p>
    <w:p w:rsidR="00000000" w:rsidDel="00000000" w:rsidP="00000000" w:rsidRDefault="00000000" w:rsidRPr="00000000" w14:paraId="0000000C">
      <w:pPr>
        <w:numPr>
          <w:ilvl w:val="0"/>
          <w:numId w:val="4"/>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plateforme technologique à l’état de l’art disponible pour héberger les premiers projets de recherche </w:t>
      </w:r>
    </w:p>
    <w:p w:rsidR="00000000" w:rsidDel="00000000" w:rsidP="00000000" w:rsidRDefault="00000000" w:rsidRPr="00000000" w14:paraId="0000000D">
      <w:pPr>
        <w:numPr>
          <w:ilvl w:val="0"/>
          <w:numId w:val="4"/>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équipe pluridisciplinaire d’une cinquantaine personnes impliquées dans un projet ambitieux  au service de l’intérêt général</w:t>
      </w:r>
    </w:p>
    <w:p w:rsidR="00000000" w:rsidDel="00000000" w:rsidP="00000000" w:rsidRDefault="00000000" w:rsidRPr="00000000" w14:paraId="0000000E">
      <w:pPr>
        <w:numPr>
          <w:ilvl w:val="0"/>
          <w:numId w:val="4"/>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Près de 1 pétaoctet de données de santé traitées par an lorsque le HDH aura atteint son régime de croisière</w:t>
      </w:r>
    </w:p>
    <w:p w:rsidR="00000000" w:rsidDel="00000000" w:rsidP="00000000" w:rsidRDefault="00000000" w:rsidRPr="00000000" w14:paraId="0000000F">
      <w:pPr>
        <w:numPr>
          <w:ilvl w:val="0"/>
          <w:numId w:val="4"/>
        </w:numPr>
        <w:spacing w:after="200"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28 projets pilotes accompagnés - Exemples : </w:t>
      </w:r>
    </w:p>
    <w:p w:rsidR="00000000" w:rsidDel="00000000" w:rsidP="00000000" w:rsidRDefault="00000000" w:rsidRPr="00000000" w14:paraId="00000010">
      <w:pPr>
        <w:numPr>
          <w:ilvl w:val="0"/>
          <w:numId w:val="3"/>
        </w:numPr>
        <w:spacing w:after="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Analyse du non recours au soin pendant le confinement à partir des résumés de passages aux urgences</w:t>
      </w:r>
    </w:p>
    <w:p w:rsidR="00000000" w:rsidDel="00000000" w:rsidP="00000000" w:rsidRDefault="00000000" w:rsidRPr="00000000" w14:paraId="00000011">
      <w:pPr>
        <w:numPr>
          <w:ilvl w:val="0"/>
          <w:numId w:val="3"/>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Etude de l’impact et des traitements sur des données de vie réelle afin d’identifier les meilleurs schémas thérapeutiques pour le traitement du sarcome </w:t>
      </w:r>
    </w:p>
    <w:p w:rsidR="00000000" w:rsidDel="00000000" w:rsidP="00000000" w:rsidRDefault="00000000" w:rsidRPr="00000000" w14:paraId="00000012">
      <w:pPr>
        <w:numPr>
          <w:ilvl w:val="0"/>
          <w:numId w:val="3"/>
        </w:numPr>
        <w:spacing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Evaluation de l’apport de l’IA dans le dépistage organisé du cancer du sein</w:t>
      </w:r>
    </w:p>
    <w:p w:rsidR="00000000" w:rsidDel="00000000" w:rsidP="00000000" w:rsidRDefault="00000000" w:rsidRPr="00000000" w14:paraId="00000013">
      <w:pPr>
        <w:spacing w:line="240" w:lineRule="auto"/>
        <w:rPr>
          <w:rFonts w:ascii="Tahoma" w:cs="Tahoma" w:eastAsia="Tahoma" w:hAnsi="Tahoma"/>
          <w:color w:val="353744"/>
        </w:rPr>
      </w:pPr>
      <w:r w:rsidDel="00000000" w:rsidR="00000000" w:rsidRPr="00000000">
        <w:rPr>
          <w:rtl w:val="0"/>
        </w:rPr>
      </w:r>
    </w:p>
    <w:p w:rsidR="00000000" w:rsidDel="00000000" w:rsidP="00000000" w:rsidRDefault="00000000" w:rsidRPr="00000000" w14:paraId="00000014">
      <w:pPr>
        <w:spacing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5">
      <w:pPr>
        <w:spacing w:line="240" w:lineRule="auto"/>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16">
      <w:pPr>
        <w:spacing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Plus d'informations sur le Health Data Hub et son équipe sur notre </w:t>
      </w:r>
      <w:hyperlink r:id="rId6">
        <w:r w:rsidDel="00000000" w:rsidR="00000000" w:rsidRPr="00000000">
          <w:rPr>
            <w:rFonts w:ascii="Tahoma" w:cs="Tahoma" w:eastAsia="Tahoma" w:hAnsi="Tahoma"/>
            <w:color w:val="353744"/>
            <w:u w:val="single"/>
            <w:rtl w:val="0"/>
          </w:rPr>
          <w:t xml:space="preserve">site</w:t>
        </w:r>
      </w:hyperlink>
      <w:r w:rsidDel="00000000" w:rsidR="00000000" w:rsidRPr="00000000">
        <w:rPr>
          <w:rFonts w:ascii="Tahoma" w:cs="Tahoma" w:eastAsia="Tahoma" w:hAnsi="Tahoma"/>
          <w:color w:val="353744"/>
          <w:u w:val="single"/>
          <w:rtl w:val="0"/>
        </w:rPr>
        <w:t xml:space="preserve">.</w:t>
      </w:r>
      <w:r w:rsidDel="00000000" w:rsidR="00000000" w:rsidRPr="00000000">
        <w:rPr>
          <w:rtl w:val="0"/>
        </w:rPr>
      </w:r>
    </w:p>
    <w:p w:rsidR="00000000" w:rsidDel="00000000" w:rsidP="00000000" w:rsidRDefault="00000000" w:rsidRPr="00000000" w14:paraId="00000017">
      <w:pPr>
        <w:pageBreakBefore w:val="0"/>
        <w:spacing w:line="259" w:lineRule="auto"/>
        <w:jc w:val="both"/>
        <w:rPr>
          <w:rFonts w:ascii="Tahoma" w:cs="Tahoma" w:eastAsia="Tahoma" w:hAnsi="Tahoma"/>
          <w:b w:val="1"/>
          <w:color w:val="353744"/>
          <w:sz w:val="28"/>
          <w:szCs w:val="28"/>
        </w:rPr>
      </w:pPr>
      <w:r w:rsidDel="00000000" w:rsidR="00000000" w:rsidRPr="00000000">
        <w:rPr>
          <w:rtl w:val="0"/>
        </w:rPr>
      </w:r>
    </w:p>
    <w:p w:rsidR="00000000" w:rsidDel="00000000" w:rsidP="00000000" w:rsidRDefault="00000000" w:rsidRPr="00000000" w14:paraId="00000018">
      <w:pPr>
        <w:pageBreakBefore w:val="0"/>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DESCRIPTIF DU POSTE</w:t>
      </w:r>
    </w:p>
    <w:p w:rsidR="00000000" w:rsidDel="00000000" w:rsidP="00000000" w:rsidRDefault="00000000" w:rsidRPr="00000000" w14:paraId="00000019">
      <w:pPr>
        <w:pageBreakBefore w:val="0"/>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1A">
      <w:pPr>
        <w:pageBreakBefore w:val="0"/>
        <w:jc w:val="both"/>
        <w:rPr>
          <w:rFonts w:ascii="Tahoma" w:cs="Tahoma" w:eastAsia="Tahoma" w:hAnsi="Tahoma"/>
          <w:color w:val="353744"/>
        </w:rPr>
      </w:pPr>
      <w:r w:rsidDel="00000000" w:rsidR="00000000" w:rsidRPr="00000000">
        <w:rPr>
          <w:rFonts w:ascii="Tahoma" w:cs="Tahoma" w:eastAsia="Tahoma" w:hAnsi="Tahoma"/>
          <w:color w:val="353744"/>
          <w:rtl w:val="0"/>
        </w:rPr>
        <w:t xml:space="preserve">La Direction Technique est en charge de l’implémentation, de l’exploitation et de la maintenance de la plateforme technologique. Celle-ci vise à mettre à disposition des porteurs de projets les données de santé pseudonymisées sous haute condition de sécurité dans le respect des droits des citoyens. Son offre logicielle se veut à l'état de l'art. La plateforme technologique doit être un levier d'innovation dans l'écosystème de la donnée de santé français.</w:t>
      </w:r>
    </w:p>
    <w:p w:rsidR="00000000" w:rsidDel="00000000" w:rsidP="00000000" w:rsidRDefault="00000000" w:rsidRPr="00000000" w14:paraId="0000001B">
      <w:pPr>
        <w:pageBreakBefore w:val="0"/>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1C">
      <w:pPr>
        <w:pageBreakBefore w:val="0"/>
        <w:jc w:val="both"/>
        <w:rPr>
          <w:rFonts w:ascii="Tahoma" w:cs="Tahoma" w:eastAsia="Tahoma" w:hAnsi="Tahoma"/>
        </w:rPr>
      </w:pPr>
      <w:r w:rsidDel="00000000" w:rsidR="00000000" w:rsidRPr="00000000">
        <w:rPr>
          <w:rFonts w:ascii="Tahoma" w:cs="Tahoma" w:eastAsia="Tahoma" w:hAnsi="Tahoma"/>
          <w:color w:val="353744"/>
          <w:rtl w:val="0"/>
        </w:rPr>
        <w:t xml:space="preserve">Sous la supervision du directeur technique, vous interviendrez sur la conception de solutions t</w:t>
      </w:r>
      <w:r w:rsidDel="00000000" w:rsidR="00000000" w:rsidRPr="00000000">
        <w:rPr>
          <w:rFonts w:ascii="Tahoma" w:cs="Tahoma" w:eastAsia="Tahoma" w:hAnsi="Tahoma"/>
          <w:rtl w:val="0"/>
        </w:rPr>
        <w:t xml:space="preserve">echniques pour la plateforme technologique.</w:t>
      </w:r>
    </w:p>
    <w:p w:rsidR="00000000" w:rsidDel="00000000" w:rsidP="00000000" w:rsidRDefault="00000000" w:rsidRPr="00000000" w14:paraId="0000001D">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E">
      <w:pPr>
        <w:pageBreakBefore w:val="0"/>
        <w:spacing w:line="259" w:lineRule="auto"/>
        <w:jc w:val="both"/>
        <w:rPr>
          <w:rFonts w:ascii="Tahoma" w:cs="Tahoma" w:eastAsia="Tahoma" w:hAnsi="Tahoma"/>
        </w:rPr>
      </w:pPr>
      <w:r w:rsidDel="00000000" w:rsidR="00000000" w:rsidRPr="00000000">
        <w:rPr>
          <w:rFonts w:ascii="Tahoma" w:cs="Tahoma" w:eastAsia="Tahoma" w:hAnsi="Tahoma"/>
          <w:b w:val="1"/>
          <w:sz w:val="28"/>
          <w:szCs w:val="28"/>
          <w:rtl w:val="0"/>
        </w:rPr>
        <w:t xml:space="preserve">Missions</w:t>
      </w:r>
      <w:r w:rsidDel="00000000" w:rsidR="00000000" w:rsidRPr="00000000">
        <w:rPr>
          <w:rtl w:val="0"/>
        </w:rPr>
      </w:r>
    </w:p>
    <w:p w:rsidR="00000000" w:rsidDel="00000000" w:rsidP="00000000" w:rsidRDefault="00000000" w:rsidRPr="00000000" w14:paraId="0000001F">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0">
      <w:pPr>
        <w:pageBreakBefore w:val="0"/>
        <w:spacing w:line="259" w:lineRule="auto"/>
        <w:jc w:val="both"/>
        <w:rPr>
          <w:rFonts w:ascii="Tahoma" w:cs="Tahoma" w:eastAsia="Tahoma" w:hAnsi="Tahoma"/>
        </w:rPr>
      </w:pPr>
      <w:r w:rsidDel="00000000" w:rsidR="00000000" w:rsidRPr="00000000">
        <w:rPr>
          <w:rFonts w:ascii="Tahoma" w:cs="Tahoma" w:eastAsia="Tahoma" w:hAnsi="Tahoma"/>
          <w:rtl w:val="0"/>
        </w:rPr>
        <w:t xml:space="preserve">Vos missions seront les suivantes :</w:t>
      </w:r>
    </w:p>
    <w:p w:rsidR="00000000" w:rsidDel="00000000" w:rsidP="00000000" w:rsidRDefault="00000000" w:rsidRPr="00000000" w14:paraId="00000021">
      <w:pPr>
        <w:pageBreakBefore w:val="0"/>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Concevoir des solutions techniques du besoin à la mise en place ;</w:t>
      </w:r>
    </w:p>
    <w:p w:rsidR="00000000" w:rsidDel="00000000" w:rsidP="00000000" w:rsidRDefault="00000000" w:rsidRPr="00000000" w14:paraId="00000022">
      <w:pPr>
        <w:pageBreakBefore w:val="0"/>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Prendre la responsabilité de définir, expérimenter et valider les éléments unitaires d'architecture réutilisables dans différents contextes d'implémentation ;</w:t>
      </w:r>
    </w:p>
    <w:p w:rsidR="00000000" w:rsidDel="00000000" w:rsidP="00000000" w:rsidRDefault="00000000" w:rsidRPr="00000000" w14:paraId="00000023">
      <w:pPr>
        <w:pageBreakBefore w:val="0"/>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Travailler conjointement avec les différentes parties prenantes techniques (CTO, RSSI, lead dev, Architecte Solution...) ;</w:t>
      </w:r>
    </w:p>
    <w:p w:rsidR="00000000" w:rsidDel="00000000" w:rsidP="00000000" w:rsidRDefault="00000000" w:rsidRPr="00000000" w14:paraId="00000024">
      <w:pPr>
        <w:pageBreakBefore w:val="0"/>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Capitaliser les choix et architectures pour les développements et maintenir les différentes documentations ;</w:t>
      </w:r>
    </w:p>
    <w:p w:rsidR="00000000" w:rsidDel="00000000" w:rsidP="00000000" w:rsidRDefault="00000000" w:rsidRPr="00000000" w14:paraId="00000025">
      <w:pPr>
        <w:pageBreakBefore w:val="0"/>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Piloter la mise en place de ces éléments unitaires dans les meilleures conditions (via des POC).</w:t>
      </w:r>
    </w:p>
    <w:p w:rsidR="00000000" w:rsidDel="00000000" w:rsidP="00000000" w:rsidRDefault="00000000" w:rsidRPr="00000000" w14:paraId="00000026">
      <w:pPr>
        <w:pageBreakBefore w:val="0"/>
        <w:spacing w:line="259" w:lineRule="auto"/>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PROFIL RECHERCHÉ</w:t>
      </w:r>
      <w:r w:rsidDel="00000000" w:rsidR="00000000" w:rsidRPr="00000000">
        <w:rPr>
          <w:rtl w:val="0"/>
        </w:rPr>
      </w:r>
    </w:p>
    <w:p w:rsidR="00000000" w:rsidDel="00000000" w:rsidP="00000000" w:rsidRDefault="00000000" w:rsidRPr="00000000" w14:paraId="00000028">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b w:val="1"/>
          <w:sz w:val="28"/>
          <w:szCs w:val="28"/>
          <w:rtl w:val="0"/>
        </w:rPr>
        <w:t xml:space="preserve">Compétences techniques</w:t>
      </w:r>
      <w:r w:rsidDel="00000000" w:rsidR="00000000" w:rsidRPr="00000000">
        <w:rPr>
          <w:rtl w:val="0"/>
        </w:rPr>
      </w:r>
    </w:p>
    <w:p w:rsidR="00000000" w:rsidDel="00000000" w:rsidP="00000000" w:rsidRDefault="00000000" w:rsidRPr="00000000" w14:paraId="00000029">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Capacité de concevoir des solutions techniques infrastructure et données avec des niveaux d'abstraction Cloud et containers ;</w:t>
      </w:r>
    </w:p>
    <w:p w:rsidR="00000000" w:rsidDel="00000000" w:rsidP="00000000" w:rsidRDefault="00000000" w:rsidRPr="00000000" w14:paraId="0000002A">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Maîtrise des concepts de base des architectures cloud et de ses services avec une bonne expérience sur un fournisseur Cloud ;</w:t>
      </w:r>
    </w:p>
    <w:p w:rsidR="00000000" w:rsidDel="00000000" w:rsidP="00000000" w:rsidRDefault="00000000" w:rsidRPr="00000000" w14:paraId="0000002B">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Maîtrise des concepts de base d'architecture Kubernetes (controller, réseau, sécurité...) ;</w:t>
      </w:r>
    </w:p>
    <w:p w:rsidR="00000000" w:rsidDel="00000000" w:rsidP="00000000" w:rsidRDefault="00000000" w:rsidRPr="00000000" w14:paraId="0000002C">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Bases solides en termes d'infrastructure, système (plutôt Linux) et réseaux ;</w:t>
      </w:r>
    </w:p>
    <w:p w:rsidR="00000000" w:rsidDel="00000000" w:rsidP="00000000" w:rsidRDefault="00000000" w:rsidRPr="00000000" w14:paraId="0000002D">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Capacité de valider une solution dans un contexte de sécurité fort ;</w:t>
      </w:r>
    </w:p>
    <w:p w:rsidR="00000000" w:rsidDel="00000000" w:rsidP="00000000" w:rsidRDefault="00000000" w:rsidRPr="00000000" w14:paraId="0000002E">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Expérience data : structuration, outils, traitements en masse ainsi que gouvernance ;</w:t>
      </w:r>
    </w:p>
    <w:p w:rsidR="00000000" w:rsidDel="00000000" w:rsidP="00000000" w:rsidRDefault="00000000" w:rsidRPr="00000000" w14:paraId="0000002F">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Expériences dans la mise en place d'architecture DevOps (CI/CD) est un plus.</w:t>
      </w:r>
    </w:p>
    <w:p w:rsidR="00000000" w:rsidDel="00000000" w:rsidP="00000000" w:rsidRDefault="00000000" w:rsidRPr="00000000" w14:paraId="00000030">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pageBreakBefore w:val="0"/>
        <w:spacing w:after="240" w:before="240" w:line="259" w:lineRule="auto"/>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Compétences personnelles et relationnelles</w:t>
      </w:r>
    </w:p>
    <w:p w:rsidR="00000000" w:rsidDel="00000000" w:rsidP="00000000" w:rsidRDefault="00000000" w:rsidRPr="00000000" w14:paraId="00000032">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Vous prenez du plaisir à produire des architectures solides et performantes ;</w:t>
      </w:r>
    </w:p>
    <w:p w:rsidR="00000000" w:rsidDel="00000000" w:rsidP="00000000" w:rsidRDefault="00000000" w:rsidRPr="00000000" w14:paraId="00000033">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Vous êtes créatif, autonome, rigoureux et un état d'esprit orienté solutions ;</w:t>
      </w:r>
    </w:p>
    <w:p w:rsidR="00000000" w:rsidDel="00000000" w:rsidP="00000000" w:rsidRDefault="00000000" w:rsidRPr="00000000" w14:paraId="00000034">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Vous êtes exigeant·e et rigoureux et vous excellez dans ce que vous faites ;</w:t>
      </w:r>
    </w:p>
    <w:p w:rsidR="00000000" w:rsidDel="00000000" w:rsidP="00000000" w:rsidRDefault="00000000" w:rsidRPr="00000000" w14:paraId="00000035">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Vous avez un esprit entrepreneurial et êtes curieux sans avoir peur du changement ;</w:t>
      </w:r>
    </w:p>
    <w:p w:rsidR="00000000" w:rsidDel="00000000" w:rsidP="00000000" w:rsidRDefault="00000000" w:rsidRPr="00000000" w14:paraId="00000036">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Vous faites preuve d’une excellente qualité d’organisation, de planification et de rigueur.</w:t>
      </w:r>
    </w:p>
    <w:p w:rsidR="00000000" w:rsidDel="00000000" w:rsidP="00000000" w:rsidRDefault="00000000" w:rsidRPr="00000000" w14:paraId="00000037">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8">
      <w:pPr>
        <w:spacing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39">
      <w:pPr>
        <w:spacing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3A">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3B">
      <w:pPr>
        <w:spacing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3C">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Mettre ses compétences au service de l’intérêt général</w:t>
      </w:r>
    </w:p>
    <w:p w:rsidR="00000000" w:rsidDel="00000000" w:rsidP="00000000" w:rsidRDefault="00000000" w:rsidRPr="00000000" w14:paraId="0000003D">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équipe jeune, dynamique et pluridisciplinaire</w:t>
      </w:r>
    </w:p>
    <w:p w:rsidR="00000000" w:rsidDel="00000000" w:rsidP="00000000" w:rsidRDefault="00000000" w:rsidRPr="00000000" w14:paraId="0000003E">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structure en forte croissance et avec de nombreuses possibilités d’évolution</w:t>
      </w:r>
    </w:p>
    <w:p w:rsidR="00000000" w:rsidDel="00000000" w:rsidP="00000000" w:rsidRDefault="00000000" w:rsidRPr="00000000" w14:paraId="0000003F">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Évoluer dans un environnement technologique stimulant, varié et à l’état de l’art</w:t>
      </w:r>
    </w:p>
    <w:p w:rsidR="00000000" w:rsidDel="00000000" w:rsidP="00000000" w:rsidRDefault="00000000" w:rsidRPr="00000000" w14:paraId="00000040">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Rémunération attractive et compétitive</w:t>
      </w:r>
    </w:p>
    <w:p w:rsidR="00000000" w:rsidDel="00000000" w:rsidP="00000000" w:rsidRDefault="00000000" w:rsidRPr="00000000" w14:paraId="00000041">
      <w:pPr>
        <w:numPr>
          <w:ilvl w:val="0"/>
          <w:numId w:val="6"/>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Des bureaux au coeur de Paris</w:t>
      </w:r>
    </w:p>
    <w:p w:rsidR="00000000" w:rsidDel="00000000" w:rsidP="00000000" w:rsidRDefault="00000000" w:rsidRPr="00000000" w14:paraId="00000042">
      <w:pPr>
        <w:spacing w:line="259" w:lineRule="auto"/>
        <w:ind w:left="720" w:firstLine="0"/>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43">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44">
      <w:pPr>
        <w:spacing w:line="259"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Après avoir postulé, le recrutement se déroulera de la manière suivante : </w:t>
      </w:r>
    </w:p>
    <w:p w:rsidR="00000000" w:rsidDel="00000000" w:rsidP="00000000" w:rsidRDefault="00000000" w:rsidRPr="00000000" w14:paraId="00000045">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premier entretien avec le directeur de l’équipe</w:t>
      </w:r>
    </w:p>
    <w:p w:rsidR="00000000" w:rsidDel="00000000" w:rsidP="00000000" w:rsidRDefault="00000000" w:rsidRPr="00000000" w14:paraId="00000046">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test à réaliser chez soi</w:t>
      </w:r>
    </w:p>
    <w:p w:rsidR="00000000" w:rsidDel="00000000" w:rsidP="00000000" w:rsidRDefault="00000000" w:rsidRPr="00000000" w14:paraId="00000047">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technique, basé sur le test</w:t>
      </w:r>
    </w:p>
    <w:p w:rsidR="00000000" w:rsidDel="00000000" w:rsidP="00000000" w:rsidRDefault="00000000" w:rsidRPr="00000000" w14:paraId="00000048">
      <w:pPr>
        <w:numPr>
          <w:ilvl w:val="0"/>
          <w:numId w:val="2"/>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49">
      <w:pPr>
        <w:pStyle w:val="Heading2"/>
        <w:keepNext w:val="0"/>
        <w:keepLines w:val="0"/>
        <w:tabs>
          <w:tab w:val="right" w:pos="8010"/>
        </w:tabs>
        <w:spacing w:after="0" w:before="0" w:line="276" w:lineRule="auto"/>
        <w:ind w:left="360" w:firstLine="0"/>
        <w:jc w:val="both"/>
        <w:rPr>
          <w:rFonts w:ascii="Tahoma" w:cs="Tahoma" w:eastAsia="Tahoma" w:hAnsi="Tahoma"/>
          <w:b w:val="1"/>
          <w:color w:val="353744"/>
          <w:sz w:val="22"/>
          <w:szCs w:val="22"/>
        </w:rPr>
      </w:pPr>
      <w:bookmarkStart w:colFirst="0" w:colLast="0" w:name="_8uxgu5s4001c" w:id="3"/>
      <w:bookmarkEnd w:id="3"/>
      <w:r w:rsidDel="00000000" w:rsidR="00000000" w:rsidRPr="00000000">
        <w:rPr>
          <w:rtl w:val="0"/>
        </w:rPr>
      </w:r>
    </w:p>
    <w:p w:rsidR="00000000" w:rsidDel="00000000" w:rsidP="00000000" w:rsidRDefault="00000000" w:rsidRPr="00000000" w14:paraId="0000004A">
      <w:pPr>
        <w:pStyle w:val="Heading1"/>
        <w:pageBreakBefore w:val="0"/>
        <w:rPr>
          <w:rFonts w:ascii="Tahoma" w:cs="Tahoma" w:eastAsia="Tahoma" w:hAnsi="Tahoma"/>
        </w:rPr>
      </w:pPr>
      <w:bookmarkStart w:colFirst="0" w:colLast="0" w:name="_j4unej7ygti" w:id="4"/>
      <w:bookmarkEnd w:id="4"/>
      <w:r w:rsidDel="00000000" w:rsidR="00000000" w:rsidRPr="00000000">
        <w:rPr>
          <w:rFonts w:ascii="Tahoma" w:cs="Tahoma" w:eastAsia="Tahoma" w:hAnsi="Tahoma"/>
          <w:b w:val="1"/>
          <w:color w:val="353744"/>
          <w:sz w:val="22"/>
          <w:szCs w:val="22"/>
          <w:rtl w:val="0"/>
        </w:rPr>
        <w:t xml:space="preserve">Pour postuler: </w:t>
      </w:r>
      <w:r w:rsidDel="00000000" w:rsidR="00000000" w:rsidRPr="00000000">
        <w:rPr>
          <w:rFonts w:ascii="Tahoma" w:cs="Tahoma" w:eastAsia="Tahoma" w:hAnsi="Tahoma"/>
          <w:sz w:val="22"/>
          <w:szCs w:val="22"/>
          <w:highlight w:val="white"/>
          <w:rtl w:val="0"/>
        </w:rPr>
        <w:t xml:space="preserve">CV et lettre de motivation à l’adresse</w:t>
      </w:r>
      <w:r w:rsidDel="00000000" w:rsidR="00000000" w:rsidRPr="00000000">
        <w:rPr>
          <w:rFonts w:ascii="Tahoma" w:cs="Tahoma" w:eastAsia="Tahoma" w:hAnsi="Tahoma"/>
          <w:b w:val="1"/>
          <w:sz w:val="28"/>
          <w:szCs w:val="28"/>
          <w:rtl w:val="0"/>
        </w:rPr>
        <w:t xml:space="preserve">: </w:t>
      </w:r>
      <w:hyperlink r:id="rId7">
        <w:r w:rsidDel="00000000" w:rsidR="00000000" w:rsidRPr="00000000">
          <w:rPr>
            <w:rFonts w:ascii="Tahoma" w:cs="Tahoma" w:eastAsia="Tahoma" w:hAnsi="Tahoma"/>
            <w:sz w:val="22"/>
            <w:szCs w:val="22"/>
            <w:highlight w:val="white"/>
            <w:rtl w:val="0"/>
          </w:rPr>
          <w:t xml:space="preserve">jobs.technique@health-data-hub.fr</w:t>
        </w:r>
      </w:hyperlink>
      <w:r w:rsidDel="00000000" w:rsidR="00000000" w:rsidRPr="00000000">
        <w:rPr>
          <w:rtl w:val="0"/>
        </w:rPr>
      </w:r>
    </w:p>
    <w:p w:rsidR="00000000" w:rsidDel="00000000" w:rsidP="00000000" w:rsidRDefault="00000000" w:rsidRPr="00000000" w14:paraId="0000004B">
      <w:pPr>
        <w:pageBreakBefore w:val="0"/>
        <w:rPr>
          <w:rFonts w:ascii="Tahoma" w:cs="Tahoma" w:eastAsia="Tahoma" w:hAnsi="Tahoma"/>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data-hub.fr/" TargetMode="External"/><Relationship Id="rId7" Type="http://schemas.openxmlformats.org/officeDocument/2006/relationships/hyperlink" Target="mailto:jobs.operations@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