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Proxima Nova" w:cs="Proxima Nova" w:eastAsia="Proxima Nova" w:hAnsi="Proxima Nova"/>
          <w:b w:val="0"/>
          <w:i w:val="0"/>
          <w:smallCaps w:val="0"/>
          <w:strike w:val="0"/>
          <w:color w:val="353744"/>
          <w:sz w:val="60"/>
          <w:szCs w:val="60"/>
          <w:u w:val="none"/>
          <w:shd w:fill="auto" w:val="clear"/>
          <w:vertAlign w:val="baseline"/>
        </w:rPr>
      </w:pPr>
      <w:bookmarkStart w:colFirst="0" w:colLast="0" w:name="_heading=h.30j0zll" w:id="0"/>
      <w:bookmarkEnd w:id="0"/>
      <w:r w:rsidDel="00000000" w:rsidR="00000000" w:rsidRPr="00000000">
        <w:rPr>
          <w:rFonts w:ascii="Tahoma" w:cs="Tahoma" w:eastAsia="Tahoma" w:hAnsi="Tahoma"/>
          <w:b w:val="1"/>
          <w:color w:val="036287"/>
          <w:sz w:val="36"/>
          <w:szCs w:val="36"/>
          <w:rtl w:val="0"/>
        </w:rPr>
        <w:t xml:space="preserve">Responsable de la Sécurité des Systèmes d’Information H/F</w:t>
      </w:r>
      <w:r w:rsidDel="00000000" w:rsidR="00000000" w:rsidRPr="00000000">
        <w:rPr>
          <w:rtl w:val="0"/>
        </w:rPr>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rPr>
          <w:b w:val="1"/>
          <w:sz w:val="28"/>
          <w:szCs w:val="28"/>
        </w:rPr>
      </w:pPr>
      <w:bookmarkStart w:colFirst="0" w:colLast="0" w:name="_heading=h.1fob9te" w:id="1"/>
      <w:bookmarkEnd w:id="1"/>
      <w:r w:rsidDel="00000000" w:rsidR="00000000" w:rsidRPr="00000000">
        <w:rPr>
          <w:rFonts w:ascii="Tahoma" w:cs="Tahoma" w:eastAsia="Tahoma" w:hAnsi="Tahoma"/>
          <w:b w:val="1"/>
          <w:color w:val="036287"/>
          <w:sz w:val="28"/>
          <w:szCs w:val="28"/>
          <w:rtl w:val="0"/>
        </w:rPr>
        <w:t xml:space="preserve">Direction Technique du HDH</w:t>
      </w:r>
      <w:r w:rsidDel="00000000" w:rsidR="00000000" w:rsidRPr="00000000">
        <w:rPr>
          <w:rtl w:val="0"/>
        </w:rPr>
      </w:r>
    </w:p>
    <w:p w:rsidR="00000000" w:rsidDel="00000000" w:rsidP="00000000" w:rsidRDefault="00000000" w:rsidRPr="00000000" w14:paraId="00000003">
      <w:pPr>
        <w:tabs>
          <w:tab w:val="left" w:pos="284"/>
        </w:tabs>
        <w:spacing w:before="0" w:line="276" w:lineRule="auto"/>
        <w:jc w:val="both"/>
        <w:rPr/>
      </w:pPr>
      <w:r w:rsidDel="00000000" w:rsidR="00000000" w:rsidRPr="00000000">
        <w:rPr>
          <w:rtl w:val="0"/>
        </w:rPr>
      </w:r>
    </w:p>
    <w:p w:rsidR="00000000" w:rsidDel="00000000" w:rsidP="00000000" w:rsidRDefault="00000000" w:rsidRPr="00000000" w14:paraId="00000004">
      <w:pPr>
        <w:tabs>
          <w:tab w:val="left" w:pos="284"/>
        </w:tabs>
        <w:spacing w:before="0" w:line="276" w:lineRule="auto"/>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Contrat – CDI</w:t>
      </w:r>
    </w:p>
    <w:p w:rsidR="00000000" w:rsidDel="00000000" w:rsidP="00000000" w:rsidRDefault="00000000" w:rsidRPr="00000000" w14:paraId="00000005">
      <w:pPr>
        <w:tabs>
          <w:tab w:val="left" w:pos="284"/>
        </w:tabs>
        <w:spacing w:before="0" w:line="276" w:lineRule="auto"/>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Rémunération – Selon profil</w:t>
      </w:r>
    </w:p>
    <w:p w:rsidR="00000000" w:rsidDel="00000000" w:rsidP="00000000" w:rsidRDefault="00000000" w:rsidRPr="00000000" w14:paraId="00000006">
      <w:pPr>
        <w:tabs>
          <w:tab w:val="left" w:pos="284"/>
        </w:tabs>
        <w:spacing w:before="0" w:line="276" w:lineRule="auto"/>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Date de début – Dès que possible</w:t>
      </w:r>
    </w:p>
    <w:p w:rsidR="00000000" w:rsidDel="00000000" w:rsidP="00000000" w:rsidRDefault="00000000" w:rsidRPr="00000000" w14:paraId="00000007">
      <w:pPr>
        <w:tabs>
          <w:tab w:val="left" w:pos="284"/>
        </w:tabs>
        <w:spacing w:before="0" w:line="276" w:lineRule="auto"/>
        <w:jc w:val="both"/>
        <w:rPr/>
      </w:pPr>
      <w:r w:rsidDel="00000000" w:rsidR="00000000" w:rsidRPr="00000000">
        <w:rPr>
          <w:rFonts w:ascii="Tahoma" w:cs="Tahoma" w:eastAsia="Tahoma" w:hAnsi="Tahoma"/>
          <w:b w:val="1"/>
          <w:sz w:val="20"/>
          <w:szCs w:val="20"/>
          <w:rtl w:val="0"/>
        </w:rPr>
        <w:t xml:space="preserve">Localisation: Paris 15ème </w:t>
      </w:r>
      <w:r w:rsidDel="00000000" w:rsidR="00000000" w:rsidRPr="00000000">
        <w:rPr>
          <w:rtl w:val="0"/>
        </w:rPr>
      </w:r>
    </w:p>
    <w:p w:rsidR="00000000" w:rsidDel="00000000" w:rsidP="00000000" w:rsidRDefault="00000000" w:rsidRPr="00000000" w14:paraId="00000008">
      <w:pPr>
        <w:spacing w:after="200" w:before="480" w:line="240" w:lineRule="auto"/>
        <w:rPr>
          <w:rFonts w:ascii="Tahoma" w:cs="Tahoma" w:eastAsia="Tahoma" w:hAnsi="Tahoma"/>
          <w:b w:val="1"/>
          <w:sz w:val="28"/>
          <w:szCs w:val="28"/>
        </w:rPr>
      </w:pPr>
      <w:bookmarkStart w:colFirst="0" w:colLast="0" w:name="_heading=h.2et92p0" w:id="2"/>
      <w:bookmarkEnd w:id="2"/>
      <w:r w:rsidDel="00000000" w:rsidR="00000000" w:rsidRPr="00000000">
        <w:rPr>
          <w:rFonts w:ascii="Tahoma" w:cs="Tahoma" w:eastAsia="Tahoma" w:hAnsi="Tahoma"/>
          <w:b w:val="1"/>
          <w:sz w:val="28"/>
          <w:szCs w:val="28"/>
          <w:rtl w:val="0"/>
        </w:rPr>
        <w:t xml:space="preserve">LE HEALTH DATA HUB</w:t>
      </w:r>
    </w:p>
    <w:p w:rsidR="00000000" w:rsidDel="00000000" w:rsidP="00000000" w:rsidRDefault="00000000" w:rsidRPr="00000000" w14:paraId="00000009">
      <w:pPr>
        <w:spacing w:after="240" w:line="240" w:lineRule="auto"/>
        <w:jc w:val="both"/>
        <w:rPr>
          <w:rFonts w:ascii="Tahoma" w:cs="Tahoma" w:eastAsia="Tahoma" w:hAnsi="Tahoma"/>
        </w:rPr>
      </w:pPr>
      <w:r w:rsidDel="00000000" w:rsidR="00000000" w:rsidRPr="00000000">
        <w:rPr>
          <w:rFonts w:ascii="Tahoma" w:cs="Tahoma" w:eastAsia="Tahoma" w:hAnsi="Tahoma"/>
          <w:rtl w:val="0"/>
        </w:rPr>
        <w:t xml:space="preserve">Le Health Data Hub (HDH) ou « plateforme des données de santé » est un Groupement d'Intérêt Public dont l’objectif est de faciliter les travaux de recherche sur le patrimoine des données de santé. Il interagit avec de nombreux acteurs tels que les Ministères, la Caisse Nationale d'Assurance Maladie, les hôpitaux. La transparence et la participation des citoyens sont des engagements clés du HDH. </w:t>
      </w:r>
    </w:p>
    <w:p w:rsidR="00000000" w:rsidDel="00000000" w:rsidP="00000000" w:rsidRDefault="00000000" w:rsidRPr="00000000" w14:paraId="0000000A">
      <w:pPr>
        <w:spacing w:after="160" w:before="0" w:line="240" w:lineRule="auto"/>
        <w:jc w:val="both"/>
        <w:rPr>
          <w:rFonts w:ascii="Tahoma" w:cs="Tahoma" w:eastAsia="Tahoma" w:hAnsi="Tahoma"/>
        </w:rPr>
      </w:pPr>
      <w:r w:rsidDel="00000000" w:rsidR="00000000" w:rsidRPr="00000000">
        <w:rPr>
          <w:rFonts w:ascii="Tahoma" w:cs="Tahoma" w:eastAsia="Tahoma" w:hAnsi="Tahoma"/>
          <w:rtl w:val="0"/>
        </w:rPr>
        <w:t xml:space="preserve">Le Health Data Hub c’est : </w:t>
      </w:r>
    </w:p>
    <w:p w:rsidR="00000000" w:rsidDel="00000000" w:rsidP="00000000" w:rsidRDefault="00000000" w:rsidRPr="00000000" w14:paraId="0000000B">
      <w:pPr>
        <w:numPr>
          <w:ilvl w:val="0"/>
          <w:numId w:val="3"/>
        </w:numPr>
        <w:spacing w:line="240" w:lineRule="auto"/>
        <w:ind w:left="720" w:hanging="360"/>
        <w:rPr>
          <w:rFonts w:ascii="Tahoma" w:cs="Tahoma" w:eastAsia="Tahoma" w:hAnsi="Tahoma"/>
        </w:rPr>
      </w:pPr>
      <w:r w:rsidDel="00000000" w:rsidR="00000000" w:rsidRPr="00000000">
        <w:rPr>
          <w:rFonts w:ascii="Tahoma" w:cs="Tahoma" w:eastAsia="Tahoma" w:hAnsi="Tahoma"/>
          <w:rtl w:val="0"/>
        </w:rPr>
        <w:t xml:space="preserve">Une plateforme technologique à l’état de l’art disponible pour héberger les premiers projets de recherche </w:t>
      </w:r>
    </w:p>
    <w:p w:rsidR="00000000" w:rsidDel="00000000" w:rsidP="00000000" w:rsidRDefault="00000000" w:rsidRPr="00000000" w14:paraId="0000000C">
      <w:pPr>
        <w:numPr>
          <w:ilvl w:val="0"/>
          <w:numId w:val="3"/>
        </w:numPr>
        <w:spacing w:line="240" w:lineRule="auto"/>
        <w:ind w:left="720" w:hanging="360"/>
        <w:rPr>
          <w:rFonts w:ascii="Tahoma" w:cs="Tahoma" w:eastAsia="Tahoma" w:hAnsi="Tahoma"/>
        </w:rPr>
      </w:pPr>
      <w:r w:rsidDel="00000000" w:rsidR="00000000" w:rsidRPr="00000000">
        <w:rPr>
          <w:rFonts w:ascii="Tahoma" w:cs="Tahoma" w:eastAsia="Tahoma" w:hAnsi="Tahoma"/>
          <w:rtl w:val="0"/>
        </w:rPr>
        <w:t xml:space="preserve">Une équipe pluridisciplinaire d’une cinquantaine personnes impliquées dans un projet ambitieux  au service de l’intérêt général</w:t>
      </w:r>
    </w:p>
    <w:p w:rsidR="00000000" w:rsidDel="00000000" w:rsidP="00000000" w:rsidRDefault="00000000" w:rsidRPr="00000000" w14:paraId="0000000D">
      <w:pPr>
        <w:numPr>
          <w:ilvl w:val="0"/>
          <w:numId w:val="3"/>
        </w:numPr>
        <w:spacing w:line="240" w:lineRule="auto"/>
        <w:ind w:left="720" w:hanging="360"/>
        <w:rPr>
          <w:rFonts w:ascii="Tahoma" w:cs="Tahoma" w:eastAsia="Tahoma" w:hAnsi="Tahoma"/>
        </w:rPr>
      </w:pPr>
      <w:r w:rsidDel="00000000" w:rsidR="00000000" w:rsidRPr="00000000">
        <w:rPr>
          <w:rFonts w:ascii="Tahoma" w:cs="Tahoma" w:eastAsia="Tahoma" w:hAnsi="Tahoma"/>
          <w:rtl w:val="0"/>
        </w:rPr>
        <w:t xml:space="preserve">Près de 1 pétaoctet de données de santé traitées par an lorsque le HDH aura atteint son régime de croisière</w:t>
      </w:r>
    </w:p>
    <w:p w:rsidR="00000000" w:rsidDel="00000000" w:rsidP="00000000" w:rsidRDefault="00000000" w:rsidRPr="00000000" w14:paraId="0000000E">
      <w:pPr>
        <w:numPr>
          <w:ilvl w:val="0"/>
          <w:numId w:val="3"/>
        </w:numPr>
        <w:spacing w:after="200" w:line="240" w:lineRule="auto"/>
        <w:ind w:left="720" w:hanging="360"/>
        <w:rPr>
          <w:rFonts w:ascii="Tahoma" w:cs="Tahoma" w:eastAsia="Tahoma" w:hAnsi="Tahoma"/>
        </w:rPr>
      </w:pPr>
      <w:r w:rsidDel="00000000" w:rsidR="00000000" w:rsidRPr="00000000">
        <w:rPr>
          <w:rFonts w:ascii="Tahoma" w:cs="Tahoma" w:eastAsia="Tahoma" w:hAnsi="Tahoma"/>
          <w:rtl w:val="0"/>
        </w:rPr>
        <w:t xml:space="preserve">28 projets pilotes accompagnés - Exemples : </w:t>
      </w:r>
    </w:p>
    <w:p w:rsidR="00000000" w:rsidDel="00000000" w:rsidP="00000000" w:rsidRDefault="00000000" w:rsidRPr="00000000" w14:paraId="0000000F">
      <w:pPr>
        <w:numPr>
          <w:ilvl w:val="0"/>
          <w:numId w:val="4"/>
        </w:numPr>
        <w:spacing w:after="200" w:before="0" w:line="240" w:lineRule="auto"/>
        <w:ind w:left="720" w:hanging="360"/>
        <w:rPr>
          <w:rFonts w:ascii="Tahoma" w:cs="Tahoma" w:eastAsia="Tahoma" w:hAnsi="Tahoma"/>
        </w:rPr>
      </w:pPr>
      <w:r w:rsidDel="00000000" w:rsidR="00000000" w:rsidRPr="00000000">
        <w:rPr>
          <w:rFonts w:ascii="Tahoma" w:cs="Tahoma" w:eastAsia="Tahoma" w:hAnsi="Tahoma"/>
          <w:rtl w:val="0"/>
        </w:rPr>
        <w:t xml:space="preserve">Analyse du non recours au soin pendant le confinement à partir des résumés de passages aux urgences</w:t>
      </w:r>
    </w:p>
    <w:p w:rsidR="00000000" w:rsidDel="00000000" w:rsidP="00000000" w:rsidRDefault="00000000" w:rsidRPr="00000000" w14:paraId="00000010">
      <w:pPr>
        <w:numPr>
          <w:ilvl w:val="0"/>
          <w:numId w:val="4"/>
        </w:numPr>
        <w:spacing w:line="240" w:lineRule="auto"/>
        <w:ind w:left="720" w:hanging="360"/>
        <w:rPr>
          <w:rFonts w:ascii="Tahoma" w:cs="Tahoma" w:eastAsia="Tahoma" w:hAnsi="Tahoma"/>
        </w:rPr>
      </w:pPr>
      <w:r w:rsidDel="00000000" w:rsidR="00000000" w:rsidRPr="00000000">
        <w:rPr>
          <w:rFonts w:ascii="Tahoma" w:cs="Tahoma" w:eastAsia="Tahoma" w:hAnsi="Tahoma"/>
          <w:rtl w:val="0"/>
        </w:rPr>
        <w:t xml:space="preserve">Etude de l’impact et des traitements sur des données de vie réelle afin d’identifier les meilleurs schémas thérapeutiques pour le traitement du sarcome </w:t>
      </w:r>
    </w:p>
    <w:p w:rsidR="00000000" w:rsidDel="00000000" w:rsidP="00000000" w:rsidRDefault="00000000" w:rsidRPr="00000000" w14:paraId="00000011">
      <w:pPr>
        <w:numPr>
          <w:ilvl w:val="0"/>
          <w:numId w:val="4"/>
        </w:numPr>
        <w:spacing w:before="0" w:line="240" w:lineRule="auto"/>
        <w:ind w:left="720" w:hanging="360"/>
        <w:rPr>
          <w:rFonts w:ascii="Tahoma" w:cs="Tahoma" w:eastAsia="Tahoma" w:hAnsi="Tahoma"/>
        </w:rPr>
      </w:pPr>
      <w:r w:rsidDel="00000000" w:rsidR="00000000" w:rsidRPr="00000000">
        <w:rPr>
          <w:rFonts w:ascii="Tahoma" w:cs="Tahoma" w:eastAsia="Tahoma" w:hAnsi="Tahoma"/>
          <w:rtl w:val="0"/>
        </w:rPr>
        <w:t xml:space="preserve">Evaluation de l’apport de l’IA dans le dépistage organisé du cancer du sein</w:t>
      </w:r>
    </w:p>
    <w:p w:rsidR="00000000" w:rsidDel="00000000" w:rsidP="00000000" w:rsidRDefault="00000000" w:rsidRPr="00000000" w14:paraId="00000012">
      <w:pPr>
        <w:spacing w:before="0" w:line="240" w:lineRule="auto"/>
        <w:rPr/>
      </w:pPr>
      <w:r w:rsidDel="00000000" w:rsidR="00000000" w:rsidRPr="00000000">
        <w:rPr>
          <w:rtl w:val="0"/>
        </w:rPr>
      </w:r>
    </w:p>
    <w:p w:rsidR="00000000" w:rsidDel="00000000" w:rsidP="00000000" w:rsidRDefault="00000000" w:rsidRPr="00000000" w14:paraId="00000013">
      <w:pPr>
        <w:spacing w:before="0" w:line="240" w:lineRule="auto"/>
        <w:jc w:val="both"/>
        <w:rPr>
          <w:rFonts w:ascii="Tahoma" w:cs="Tahoma" w:eastAsia="Tahoma" w:hAnsi="Tahoma"/>
        </w:rPr>
      </w:pPr>
      <w:r w:rsidDel="00000000" w:rsidR="00000000" w:rsidRPr="00000000">
        <w:rPr>
          <w:rFonts w:ascii="Tahoma" w:cs="Tahoma" w:eastAsia="Tahoma" w:hAnsi="Tahoma"/>
          <w:rtl w:val="0"/>
        </w:rPr>
        <w:t xml:space="preserve">Le HDH porte une mission de facilitation de la recherche médicale, et de ce fait est un vecteur d’amélioration de la vie des patients. Au cœur des enjeux du numérique et de la santé, il est porté par une équipe dynamique qui contribue au partage de la connaissance à travers l’open source.</w:t>
      </w:r>
    </w:p>
    <w:p w:rsidR="00000000" w:rsidDel="00000000" w:rsidP="00000000" w:rsidRDefault="00000000" w:rsidRPr="00000000" w14:paraId="00000014">
      <w:pPr>
        <w:spacing w:before="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5">
      <w:pPr>
        <w:spacing w:before="0" w:line="240" w:lineRule="auto"/>
        <w:jc w:val="both"/>
        <w:rPr>
          <w:rFonts w:ascii="Tahoma" w:cs="Tahoma" w:eastAsia="Tahoma" w:hAnsi="Tahoma"/>
          <w:color w:val="000000"/>
        </w:rPr>
      </w:pPr>
      <w:r w:rsidDel="00000000" w:rsidR="00000000" w:rsidRPr="00000000">
        <w:rPr>
          <w:rFonts w:ascii="Tahoma" w:cs="Tahoma" w:eastAsia="Tahoma" w:hAnsi="Tahoma"/>
          <w:rtl w:val="0"/>
        </w:rPr>
        <w:t xml:space="preserve">Plus d'informations sur le Health Data Hub et son équipe sur notre </w:t>
      </w:r>
      <w:hyperlink r:id="rId7">
        <w:r w:rsidDel="00000000" w:rsidR="00000000" w:rsidRPr="00000000">
          <w:rPr>
            <w:rFonts w:ascii="Tahoma" w:cs="Tahoma" w:eastAsia="Tahoma" w:hAnsi="Tahoma"/>
            <w:u w:val="single"/>
            <w:rtl w:val="0"/>
          </w:rPr>
          <w:t xml:space="preserve">site</w:t>
        </w:r>
      </w:hyperlink>
      <w:r w:rsidDel="00000000" w:rsidR="00000000" w:rsidRPr="00000000">
        <w:rPr>
          <w:rFonts w:ascii="Tahoma" w:cs="Tahoma" w:eastAsia="Tahoma" w:hAnsi="Tahoma"/>
          <w:u w:val="single"/>
          <w:rtl w:val="0"/>
        </w:rPr>
        <w:t xml:space="preserve">.</w:t>
      </w:r>
      <w:r w:rsidDel="00000000" w:rsidR="00000000" w:rsidRPr="00000000">
        <w:rPr>
          <w:rtl w:val="0"/>
        </w:rPr>
      </w:r>
    </w:p>
    <w:p w:rsidR="00000000" w:rsidDel="00000000" w:rsidP="00000000" w:rsidRDefault="00000000" w:rsidRPr="00000000" w14:paraId="00000016">
      <w:pPr>
        <w:spacing w:before="0" w:line="276" w:lineRule="auto"/>
        <w:jc w:val="both"/>
        <w:rPr>
          <w:b w:val="1"/>
          <w:sz w:val="28"/>
          <w:szCs w:val="28"/>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ahoma" w:cs="Tahoma" w:eastAsia="Tahoma" w:hAnsi="Tahoma"/>
          <w:b w:val="1"/>
          <w:color w:val="036287"/>
        </w:rPr>
      </w:pPr>
      <w:bookmarkStart w:colFirst="0" w:colLast="0" w:name="_heading=h.3dy6vkm" w:id="3"/>
      <w:bookmarkEnd w:id="3"/>
      <w:r w:rsidDel="00000000" w:rsidR="00000000" w:rsidRPr="00000000">
        <w:rPr>
          <w:rFonts w:ascii="Tahoma" w:cs="Tahoma" w:eastAsia="Tahoma" w:hAnsi="Tahoma"/>
          <w:b w:val="1"/>
          <w:color w:val="036287"/>
          <w:rtl w:val="0"/>
        </w:rPr>
        <w:t xml:space="preserve">DESCRIPTIF DU POSTE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0" w:line="276"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9">
      <w:pPr>
        <w:spacing w:before="0" w:line="276"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Le/la RSSI garantit la mise en œuvre des postures de défense et de prévention cybersécurité en adéquation avec les risques identifiés et leurs évolutions. Il est garant de la conformité réglementaire et de la protection des systèmes d’information du Health Data Hub selon les quatre axes disponibilité, intégrité, confidentialité et traçabilité. Il/elle reporte directement à la directrice du HDH. En collaboration étroite avec le directeur technique et le délégué à la protection des données, le/la RSSI réalise les missions suivantes :</w:t>
      </w:r>
    </w:p>
    <w:p w:rsidR="00000000" w:rsidDel="00000000" w:rsidP="00000000" w:rsidRDefault="00000000" w:rsidRPr="00000000" w14:paraId="0000001A">
      <w:pPr>
        <w:spacing w:before="0" w:line="276"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B">
      <w:pPr>
        <w:numPr>
          <w:ilvl w:val="0"/>
          <w:numId w:val="6"/>
        </w:numPr>
        <w:spacing w:before="0" w:line="276" w:lineRule="auto"/>
        <w:ind w:left="720" w:hanging="360"/>
        <w:jc w:val="both"/>
        <w:rPr>
          <w:rFonts w:ascii="Calibri" w:cs="Calibri" w:eastAsia="Calibri" w:hAnsi="Calibri"/>
          <w:color w:val="000000"/>
        </w:rPr>
      </w:pPr>
      <w:r w:rsidDel="00000000" w:rsidR="00000000" w:rsidRPr="00000000">
        <w:rPr>
          <w:rFonts w:ascii="Tahoma" w:cs="Tahoma" w:eastAsia="Tahoma" w:hAnsi="Tahoma"/>
          <w:b w:val="1"/>
          <w:color w:val="000000"/>
          <w:rtl w:val="0"/>
        </w:rPr>
        <w:t xml:space="preserve">définir la stratégie de sécurité et sa déclinaison opérationnelle en conformité avec les exigences réglementaires</w:t>
      </w:r>
      <w:r w:rsidDel="00000000" w:rsidR="00000000" w:rsidRPr="00000000">
        <w:rPr>
          <w:rFonts w:ascii="Tahoma" w:cs="Tahoma" w:eastAsia="Tahoma" w:hAnsi="Tahoma"/>
          <w:color w:val="000000"/>
          <w:rtl w:val="0"/>
        </w:rPr>
        <w:t xml:space="preserve">, à ce titre :</w:t>
      </w:r>
    </w:p>
    <w:p w:rsidR="00000000" w:rsidDel="00000000" w:rsidP="00000000" w:rsidRDefault="00000000" w:rsidRPr="00000000" w14:paraId="0000001C">
      <w:pPr>
        <w:numPr>
          <w:ilvl w:val="1"/>
          <w:numId w:val="6"/>
        </w:numPr>
        <w:spacing w:before="0" w:line="276" w:lineRule="auto"/>
        <w:ind w:left="144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il/elle rédige la documentation relative à la sécurité et la tient à jour ;</w:t>
      </w:r>
    </w:p>
    <w:p w:rsidR="00000000" w:rsidDel="00000000" w:rsidP="00000000" w:rsidRDefault="00000000" w:rsidRPr="00000000" w14:paraId="0000001D">
      <w:pPr>
        <w:numPr>
          <w:ilvl w:val="1"/>
          <w:numId w:val="6"/>
        </w:numPr>
        <w:spacing w:before="0" w:line="276" w:lineRule="auto"/>
        <w:ind w:left="144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il/elle définit et met en œuvre la procédure de gestion de crise.</w:t>
      </w:r>
    </w:p>
    <w:p w:rsidR="00000000" w:rsidDel="00000000" w:rsidP="00000000" w:rsidRDefault="00000000" w:rsidRPr="00000000" w14:paraId="0000001E">
      <w:pPr>
        <w:numPr>
          <w:ilvl w:val="0"/>
          <w:numId w:val="6"/>
        </w:numPr>
        <w:spacing w:before="0" w:line="276" w:lineRule="auto"/>
        <w:ind w:left="720" w:hanging="360"/>
        <w:jc w:val="both"/>
        <w:rPr>
          <w:rFonts w:ascii="Calibri" w:cs="Calibri" w:eastAsia="Calibri" w:hAnsi="Calibri"/>
          <w:color w:val="000000"/>
        </w:rPr>
      </w:pPr>
      <w:r w:rsidDel="00000000" w:rsidR="00000000" w:rsidRPr="00000000">
        <w:rPr>
          <w:rFonts w:ascii="Tahoma" w:cs="Tahoma" w:eastAsia="Tahoma" w:hAnsi="Tahoma"/>
          <w:b w:val="1"/>
          <w:color w:val="000000"/>
          <w:rtl w:val="0"/>
        </w:rPr>
        <w:t xml:space="preserve">définir et maintenir à jour la cartographie des risques de sécurité</w:t>
      </w:r>
      <w:r w:rsidDel="00000000" w:rsidR="00000000" w:rsidRPr="00000000">
        <w:rPr>
          <w:rFonts w:ascii="Tahoma" w:cs="Tahoma" w:eastAsia="Tahoma" w:hAnsi="Tahoma"/>
          <w:color w:val="000000"/>
          <w:rtl w:val="0"/>
        </w:rPr>
        <w:t xml:space="preserve"> et les plans d’actions permettant de réduire la probabilité de survenance de chaque risque identifié, à ce titre, il/elle réalise ou fait réaliser les analyses de risques (EBIOS) ;</w:t>
      </w:r>
    </w:p>
    <w:p w:rsidR="00000000" w:rsidDel="00000000" w:rsidP="00000000" w:rsidRDefault="00000000" w:rsidRPr="00000000" w14:paraId="0000001F">
      <w:pPr>
        <w:numPr>
          <w:ilvl w:val="0"/>
          <w:numId w:val="6"/>
        </w:numPr>
        <w:spacing w:before="0" w:line="276" w:lineRule="auto"/>
        <w:ind w:left="720" w:hanging="360"/>
        <w:jc w:val="both"/>
        <w:rPr>
          <w:rFonts w:ascii="Calibri" w:cs="Calibri" w:eastAsia="Calibri" w:hAnsi="Calibri"/>
          <w:color w:val="000000"/>
        </w:rPr>
      </w:pPr>
      <w:r w:rsidDel="00000000" w:rsidR="00000000" w:rsidRPr="00000000">
        <w:rPr>
          <w:rFonts w:ascii="Tahoma" w:cs="Tahoma" w:eastAsia="Tahoma" w:hAnsi="Tahoma"/>
          <w:b w:val="1"/>
          <w:color w:val="000000"/>
          <w:rtl w:val="0"/>
        </w:rPr>
        <w:t xml:space="preserve">définir les tableaux de bord cybersécurité et mettre en place les points de contrôle</w:t>
      </w:r>
      <w:r w:rsidDel="00000000" w:rsidR="00000000" w:rsidRPr="00000000">
        <w:rPr>
          <w:rFonts w:ascii="Tahoma" w:cs="Tahoma" w:eastAsia="Tahoma" w:hAnsi="Tahoma"/>
          <w:color w:val="000000"/>
          <w:rtl w:val="0"/>
        </w:rPr>
        <w:t xml:space="preserve"> permettant d’avoir une vision synthétique de l’exposition du système aux risques ;</w:t>
      </w:r>
    </w:p>
    <w:p w:rsidR="00000000" w:rsidDel="00000000" w:rsidP="00000000" w:rsidRDefault="00000000" w:rsidRPr="00000000" w14:paraId="00000020">
      <w:pPr>
        <w:numPr>
          <w:ilvl w:val="0"/>
          <w:numId w:val="6"/>
        </w:numPr>
        <w:spacing w:before="0" w:line="276" w:lineRule="auto"/>
        <w:ind w:left="720" w:hanging="360"/>
        <w:jc w:val="both"/>
        <w:rPr>
          <w:rFonts w:ascii="Calibri" w:cs="Calibri" w:eastAsia="Calibri" w:hAnsi="Calibri"/>
          <w:color w:val="000000"/>
        </w:rPr>
      </w:pPr>
      <w:r w:rsidDel="00000000" w:rsidR="00000000" w:rsidRPr="00000000">
        <w:rPr>
          <w:rFonts w:ascii="Tahoma" w:cs="Tahoma" w:eastAsia="Tahoma" w:hAnsi="Tahoma"/>
          <w:b w:val="1"/>
          <w:color w:val="000000"/>
          <w:rtl w:val="0"/>
        </w:rPr>
        <w:t xml:space="preserve">être le référent cybersécurité HDH pour l’ensemble de l’écosystème</w:t>
      </w:r>
      <w:r w:rsidDel="00000000" w:rsidR="00000000" w:rsidRPr="00000000">
        <w:rPr>
          <w:rFonts w:ascii="Tahoma" w:cs="Tahoma" w:eastAsia="Tahoma" w:hAnsi="Tahoma"/>
          <w:color w:val="000000"/>
          <w:rtl w:val="0"/>
        </w:rPr>
        <w:t xml:space="preserve">, à ce titre il/elle est l’interlocuteur privilégié des autorités compétentes (FSSI, ANSSI,CNIL) ;</w:t>
      </w:r>
    </w:p>
    <w:p w:rsidR="00000000" w:rsidDel="00000000" w:rsidP="00000000" w:rsidRDefault="00000000" w:rsidRPr="00000000" w14:paraId="00000021">
      <w:pPr>
        <w:numPr>
          <w:ilvl w:val="0"/>
          <w:numId w:val="6"/>
        </w:numPr>
        <w:spacing w:before="0" w:line="276" w:lineRule="auto"/>
        <w:ind w:left="720" w:hanging="360"/>
        <w:jc w:val="both"/>
        <w:rPr>
          <w:rFonts w:ascii="Calibri" w:cs="Calibri" w:eastAsia="Calibri" w:hAnsi="Calibri"/>
          <w:color w:val="000000"/>
        </w:rPr>
      </w:pPr>
      <w:r w:rsidDel="00000000" w:rsidR="00000000" w:rsidRPr="00000000">
        <w:rPr>
          <w:rFonts w:ascii="Tahoma" w:cs="Tahoma" w:eastAsia="Tahoma" w:hAnsi="Tahoma"/>
          <w:b w:val="1"/>
          <w:color w:val="000000"/>
          <w:rtl w:val="0"/>
        </w:rPr>
        <w:t xml:space="preserve">organiser la sensibilisation des utilisateurs</w:t>
      </w:r>
      <w:r w:rsidDel="00000000" w:rsidR="00000000" w:rsidRPr="00000000">
        <w:rPr>
          <w:rFonts w:ascii="Tahoma" w:cs="Tahoma" w:eastAsia="Tahoma" w:hAnsi="Tahoma"/>
          <w:color w:val="000000"/>
          <w:rtl w:val="0"/>
        </w:rPr>
        <w:t xml:space="preserve"> de la plateforme technologique et des agents du HDH ;</w:t>
      </w:r>
    </w:p>
    <w:p w:rsidR="00000000" w:rsidDel="00000000" w:rsidP="00000000" w:rsidRDefault="00000000" w:rsidRPr="00000000" w14:paraId="00000022">
      <w:pPr>
        <w:numPr>
          <w:ilvl w:val="0"/>
          <w:numId w:val="6"/>
        </w:numPr>
        <w:spacing w:before="0" w:line="276" w:lineRule="auto"/>
        <w:ind w:left="720" w:hanging="360"/>
        <w:jc w:val="both"/>
        <w:rPr>
          <w:rFonts w:ascii="Calibri" w:cs="Calibri" w:eastAsia="Calibri" w:hAnsi="Calibri"/>
          <w:color w:val="000000"/>
        </w:rPr>
      </w:pPr>
      <w:r w:rsidDel="00000000" w:rsidR="00000000" w:rsidRPr="00000000">
        <w:rPr>
          <w:rFonts w:ascii="Tahoma" w:cs="Tahoma" w:eastAsia="Tahoma" w:hAnsi="Tahoma"/>
          <w:b w:val="1"/>
          <w:color w:val="000000"/>
          <w:rtl w:val="0"/>
        </w:rPr>
        <w:t xml:space="preserve">conduire les opérations d’audit et de contrôle</w:t>
      </w:r>
      <w:r w:rsidDel="00000000" w:rsidR="00000000" w:rsidRPr="00000000">
        <w:rPr>
          <w:rFonts w:ascii="Tahoma" w:cs="Tahoma" w:eastAsia="Tahoma" w:hAnsi="Tahoma"/>
          <w:color w:val="000000"/>
          <w:rtl w:val="0"/>
        </w:rPr>
        <w:t xml:space="preserve"> de la sécurité, piloter les plans d’actions de remédiation issus de ces derniers ;</w:t>
      </w:r>
    </w:p>
    <w:p w:rsidR="00000000" w:rsidDel="00000000" w:rsidP="00000000" w:rsidRDefault="00000000" w:rsidRPr="00000000" w14:paraId="00000023">
      <w:pPr>
        <w:numPr>
          <w:ilvl w:val="0"/>
          <w:numId w:val="6"/>
        </w:numPr>
        <w:spacing w:before="0" w:line="276" w:lineRule="auto"/>
        <w:ind w:left="720" w:hanging="360"/>
        <w:jc w:val="both"/>
        <w:rPr>
          <w:rFonts w:ascii="Calibri" w:cs="Calibri" w:eastAsia="Calibri" w:hAnsi="Calibri"/>
          <w:color w:val="000000"/>
        </w:rPr>
      </w:pPr>
      <w:r w:rsidDel="00000000" w:rsidR="00000000" w:rsidRPr="00000000">
        <w:rPr>
          <w:rFonts w:ascii="Tahoma" w:cs="Tahoma" w:eastAsia="Tahoma" w:hAnsi="Tahoma"/>
          <w:b w:val="1"/>
          <w:color w:val="000000"/>
          <w:rtl w:val="0"/>
        </w:rPr>
        <w:t xml:space="preserve">accompagner les projets</w:t>
      </w:r>
      <w:r w:rsidDel="00000000" w:rsidR="00000000" w:rsidRPr="00000000">
        <w:rPr>
          <w:rFonts w:ascii="Tahoma" w:cs="Tahoma" w:eastAsia="Tahoma" w:hAnsi="Tahoma"/>
          <w:color w:val="000000"/>
          <w:rtl w:val="0"/>
        </w:rPr>
        <w:t xml:space="preserve"> dans l’objectif « secure by design », il/elle est notamment le garant de la mise en œuvre de la démarche d’homologation RGS conformément aux préconisations de l’ANSSI ;</w:t>
      </w:r>
    </w:p>
    <w:p w:rsidR="00000000" w:rsidDel="00000000" w:rsidP="00000000" w:rsidRDefault="00000000" w:rsidRPr="00000000" w14:paraId="00000024">
      <w:pPr>
        <w:numPr>
          <w:ilvl w:val="0"/>
          <w:numId w:val="6"/>
        </w:numPr>
        <w:spacing w:before="0" w:line="276" w:lineRule="auto"/>
        <w:ind w:left="720" w:hanging="360"/>
        <w:jc w:val="both"/>
        <w:rPr>
          <w:rFonts w:ascii="Calibri" w:cs="Calibri" w:eastAsia="Calibri" w:hAnsi="Calibri"/>
          <w:color w:val="000000"/>
        </w:rPr>
      </w:pPr>
      <w:r w:rsidDel="00000000" w:rsidR="00000000" w:rsidRPr="00000000">
        <w:rPr>
          <w:rFonts w:ascii="Tahoma" w:cs="Tahoma" w:eastAsia="Tahoma" w:hAnsi="Tahoma"/>
          <w:b w:val="1"/>
          <w:color w:val="000000"/>
          <w:rtl w:val="0"/>
        </w:rPr>
        <w:t xml:space="preserve">s’assurer de la conformité des prestataires et des solutions techniques</w:t>
      </w:r>
      <w:r w:rsidDel="00000000" w:rsidR="00000000" w:rsidRPr="00000000">
        <w:rPr>
          <w:rFonts w:ascii="Tahoma" w:cs="Tahoma" w:eastAsia="Tahoma" w:hAnsi="Tahoma"/>
          <w:color w:val="000000"/>
          <w:rtl w:val="0"/>
        </w:rPr>
        <w:t xml:space="preserve"> au référentiel de sécurité du HDH ;</w:t>
      </w:r>
    </w:p>
    <w:p w:rsidR="00000000" w:rsidDel="00000000" w:rsidP="00000000" w:rsidRDefault="00000000" w:rsidRPr="00000000" w14:paraId="00000025">
      <w:pPr>
        <w:numPr>
          <w:ilvl w:val="0"/>
          <w:numId w:val="6"/>
        </w:numPr>
        <w:spacing w:before="0" w:line="276" w:lineRule="auto"/>
        <w:ind w:left="720" w:hanging="360"/>
        <w:jc w:val="both"/>
        <w:rPr>
          <w:rFonts w:ascii="Calibri" w:cs="Calibri" w:eastAsia="Calibri" w:hAnsi="Calibri"/>
          <w:color w:val="000000"/>
        </w:rPr>
      </w:pPr>
      <w:r w:rsidDel="00000000" w:rsidR="00000000" w:rsidRPr="00000000">
        <w:rPr>
          <w:rFonts w:ascii="Tahoma" w:cs="Tahoma" w:eastAsia="Tahoma" w:hAnsi="Tahoma"/>
          <w:b w:val="1"/>
          <w:color w:val="000000"/>
          <w:rtl w:val="0"/>
        </w:rPr>
        <w:t xml:space="preserve">se positionner comme expert</w:t>
      </w:r>
      <w:r w:rsidDel="00000000" w:rsidR="00000000" w:rsidRPr="00000000">
        <w:rPr>
          <w:rFonts w:ascii="Tahoma" w:cs="Tahoma" w:eastAsia="Tahoma" w:hAnsi="Tahoma"/>
          <w:color w:val="000000"/>
          <w:rtl w:val="0"/>
        </w:rPr>
        <w:t xml:space="preserve"> sur les sujets de sécurité et mettre en place une veille technologique relative à ce sujet ;</w:t>
      </w:r>
    </w:p>
    <w:p w:rsidR="00000000" w:rsidDel="00000000" w:rsidP="00000000" w:rsidRDefault="00000000" w:rsidRPr="00000000" w14:paraId="00000026">
      <w:pPr>
        <w:numPr>
          <w:ilvl w:val="0"/>
          <w:numId w:val="6"/>
        </w:numPr>
        <w:spacing w:before="0" w:line="276" w:lineRule="auto"/>
        <w:ind w:left="720" w:hanging="360"/>
        <w:jc w:val="both"/>
        <w:rPr>
          <w:rFonts w:ascii="Calibri" w:cs="Calibri" w:eastAsia="Calibri" w:hAnsi="Calibri"/>
          <w:color w:val="000000"/>
        </w:rPr>
      </w:pPr>
      <w:r w:rsidDel="00000000" w:rsidR="00000000" w:rsidRPr="00000000">
        <w:rPr>
          <w:rFonts w:ascii="Tahoma" w:cs="Tahoma" w:eastAsia="Tahoma" w:hAnsi="Tahoma"/>
          <w:b w:val="1"/>
          <w:color w:val="000000"/>
          <w:rtl w:val="0"/>
        </w:rPr>
        <w:t xml:space="preserve">piloter le budget</w:t>
      </w:r>
      <w:r w:rsidDel="00000000" w:rsidR="00000000" w:rsidRPr="00000000">
        <w:rPr>
          <w:rFonts w:ascii="Tahoma" w:cs="Tahoma" w:eastAsia="Tahoma" w:hAnsi="Tahoma"/>
          <w:color w:val="000000"/>
          <w:rtl w:val="0"/>
        </w:rPr>
        <w:t xml:space="preserve"> relatif à la cybersécurité du HDH. </w:t>
      </w:r>
    </w:p>
    <w:p w:rsidR="00000000" w:rsidDel="00000000" w:rsidP="00000000" w:rsidRDefault="00000000" w:rsidRPr="00000000" w14:paraId="00000027">
      <w:pPr>
        <w:pStyle w:val="Heading1"/>
        <w:spacing w:before="480" w:line="240" w:lineRule="auto"/>
        <w:rPr>
          <w:rFonts w:ascii="Tahoma" w:cs="Tahoma" w:eastAsia="Tahoma" w:hAnsi="Tahoma"/>
          <w:color w:val="000000"/>
          <w:sz w:val="22"/>
          <w:szCs w:val="22"/>
        </w:rPr>
      </w:pPr>
      <w:bookmarkStart w:colFirst="0" w:colLast="0" w:name="_heading=h.1t3h5sf" w:id="4"/>
      <w:bookmarkEnd w:id="4"/>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1"/>
        <w:spacing w:before="480" w:line="240" w:lineRule="auto"/>
        <w:rPr>
          <w:rFonts w:ascii="Tahoma" w:cs="Tahoma" w:eastAsia="Tahoma" w:hAnsi="Tahoma"/>
          <w:sz w:val="22"/>
          <w:szCs w:val="22"/>
        </w:rPr>
      </w:pPr>
      <w:bookmarkStart w:colFirst="0" w:colLast="0" w:name="_heading=h.4d34og8" w:id="5"/>
      <w:bookmarkEnd w:id="5"/>
      <w:r w:rsidDel="00000000" w:rsidR="00000000" w:rsidRPr="00000000">
        <w:rPr>
          <w:rFonts w:ascii="Tahoma" w:cs="Tahoma" w:eastAsia="Tahoma" w:hAnsi="Tahoma"/>
          <w:color w:val="036287"/>
          <w:sz w:val="22"/>
          <w:szCs w:val="22"/>
          <w:rtl w:val="0"/>
        </w:rPr>
        <w:t xml:space="preserve">PROFIL RECHERCHÉ</w:t>
      </w:r>
      <w:r w:rsidDel="00000000" w:rsidR="00000000" w:rsidRPr="00000000">
        <w:rPr>
          <w:rtl w:val="0"/>
        </w:rPr>
      </w:r>
    </w:p>
    <w:p w:rsidR="00000000" w:rsidDel="00000000" w:rsidP="00000000" w:rsidRDefault="00000000" w:rsidRPr="00000000" w14:paraId="00000029">
      <w:pPr>
        <w:tabs>
          <w:tab w:val="right" w:pos="8010"/>
        </w:tabs>
        <w:spacing w:before="0" w:line="276" w:lineRule="auto"/>
        <w:rPr>
          <w:rFonts w:ascii="Tahoma" w:cs="Tahoma" w:eastAsia="Tahoma" w:hAnsi="Tahoma"/>
          <w:b w:val="1"/>
          <w:color w:val="007fa1"/>
        </w:rPr>
      </w:pPr>
      <w:r w:rsidDel="00000000" w:rsidR="00000000" w:rsidRPr="00000000">
        <w:rPr>
          <w:rtl w:val="0"/>
        </w:rPr>
      </w:r>
    </w:p>
    <w:p w:rsidR="00000000" w:rsidDel="00000000" w:rsidP="00000000" w:rsidRDefault="00000000" w:rsidRPr="00000000" w14:paraId="0000002A">
      <w:pPr>
        <w:pStyle w:val="Heading2"/>
        <w:tabs>
          <w:tab w:val="left" w:pos="284"/>
        </w:tabs>
        <w:ind w:firstLine="360"/>
        <w:rPr>
          <w:rFonts w:ascii="Tahoma" w:cs="Tahoma" w:eastAsia="Tahoma" w:hAnsi="Tahoma"/>
          <w:color w:val="000000"/>
          <w:sz w:val="22"/>
          <w:szCs w:val="22"/>
        </w:rPr>
      </w:pPr>
      <w:bookmarkStart w:colFirst="0" w:colLast="0" w:name="_heading=h.2s8eyo1" w:id="6"/>
      <w:bookmarkEnd w:id="6"/>
      <w:r w:rsidDel="00000000" w:rsidR="00000000" w:rsidRPr="00000000">
        <w:rPr>
          <w:rFonts w:ascii="Tahoma" w:cs="Tahoma" w:eastAsia="Tahoma" w:hAnsi="Tahoma"/>
          <w:color w:val="000000"/>
          <w:sz w:val="22"/>
          <w:szCs w:val="22"/>
          <w:rtl w:val="0"/>
        </w:rPr>
        <w:t xml:space="preserve">Compétences techniques requises</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Tahoma" w:cs="Tahoma" w:eastAsia="Tahoma" w:hAnsi="Tahoma"/>
          <w:color w:val="000000"/>
        </w:rPr>
      </w:pPr>
      <w:r w:rsidDel="00000000" w:rsidR="00000000" w:rsidRPr="00000000">
        <w:rPr>
          <w:rFonts w:ascii="Tahoma" w:cs="Tahoma" w:eastAsia="Tahoma" w:hAnsi="Tahoma"/>
          <w:rtl w:val="0"/>
        </w:rPr>
        <w:t xml:space="preserve">expertise en cyber sécurité des plateformes Cloud : maîtrise des enjeux de sécurité (authentification, gestion des identités et des accès, protection antivirus, traçabilité, etc.) et des réponses techniques (VDI, IAM, RBAC, etc.)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Tahoma" w:cs="Tahoma" w:eastAsia="Tahoma" w:hAnsi="Tahoma"/>
          <w:color w:val="000000"/>
        </w:rPr>
      </w:pPr>
      <w:r w:rsidDel="00000000" w:rsidR="00000000" w:rsidRPr="00000000">
        <w:rPr>
          <w:rFonts w:ascii="Tahoma" w:cs="Tahoma" w:eastAsia="Tahoma" w:hAnsi="Tahoma"/>
          <w:rtl w:val="0"/>
        </w:rPr>
        <w:t xml:space="preserve">connaissance de l’écosystème des technologies de sécurité, aussi bien propriétaires (telles que Azure, Citrix, PaloAlto, FortiNet, Wallix) qu’open source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Tahoma" w:cs="Tahoma" w:eastAsia="Tahoma" w:hAnsi="Tahoma"/>
          <w:color w:val="000000"/>
        </w:rPr>
      </w:pPr>
      <w:r w:rsidDel="00000000" w:rsidR="00000000" w:rsidRPr="00000000">
        <w:rPr>
          <w:rFonts w:ascii="Tahoma" w:cs="Tahoma" w:eastAsia="Tahoma" w:hAnsi="Tahoma"/>
          <w:rtl w:val="0"/>
        </w:rPr>
        <w:t xml:space="preserve">expérience dans le pilotage d’audits techniques (penetration test) et organisationnels.</w:t>
      </w:r>
      <w:r w:rsidDel="00000000" w:rsidR="00000000" w:rsidRPr="00000000">
        <w:rPr>
          <w:rtl w:val="0"/>
        </w:rPr>
      </w:r>
    </w:p>
    <w:p w:rsidR="00000000" w:rsidDel="00000000" w:rsidP="00000000" w:rsidRDefault="00000000" w:rsidRPr="00000000" w14:paraId="0000002E">
      <w:pPr>
        <w:tabs>
          <w:tab w:val="left" w:pos="284"/>
        </w:tabs>
        <w:spacing w:before="0" w:line="276" w:lineRule="auto"/>
        <w:jc w:val="both"/>
        <w:rPr>
          <w:rFonts w:ascii="Tahoma" w:cs="Tahoma" w:eastAsia="Tahoma" w:hAnsi="Tahoma"/>
          <w:b w:val="1"/>
          <w:color w:val="007fa1"/>
        </w:rPr>
      </w:pPr>
      <w:r w:rsidDel="00000000" w:rsidR="00000000" w:rsidRPr="00000000">
        <w:rPr>
          <w:rtl w:val="0"/>
        </w:rPr>
      </w:r>
    </w:p>
    <w:p w:rsidR="00000000" w:rsidDel="00000000" w:rsidP="00000000" w:rsidRDefault="00000000" w:rsidRPr="00000000" w14:paraId="0000002F">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76" w:lineRule="auto"/>
        <w:ind w:left="360" w:right="0" w:firstLine="0"/>
        <w:jc w:val="both"/>
        <w:rPr>
          <w:rFonts w:ascii="Tahoma" w:cs="Tahoma" w:eastAsia="Tahoma" w:hAnsi="Tahoma"/>
          <w:color w:val="000000"/>
          <w:sz w:val="22"/>
          <w:szCs w:val="22"/>
        </w:rPr>
      </w:pPr>
      <w:bookmarkStart w:colFirst="0" w:colLast="0" w:name="_heading=h.jbsu1yu8c46g" w:id="7"/>
      <w:bookmarkEnd w:id="7"/>
      <w:r w:rsidDel="00000000" w:rsidR="00000000" w:rsidRPr="00000000">
        <w:rPr>
          <w:rFonts w:ascii="Tahoma" w:cs="Tahoma" w:eastAsia="Tahoma" w:hAnsi="Tahoma"/>
          <w:color w:val="000000"/>
          <w:sz w:val="22"/>
          <w:szCs w:val="22"/>
          <w:rtl w:val="0"/>
        </w:rPr>
        <w:t xml:space="preserve">Compétences personnelles et relationnelles</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Tahoma" w:cs="Tahoma" w:eastAsia="Tahoma" w:hAnsi="Tahoma"/>
          <w:color w:val="000000"/>
        </w:rPr>
      </w:pPr>
      <w:r w:rsidDel="00000000" w:rsidR="00000000" w:rsidRPr="00000000">
        <w:rPr>
          <w:rFonts w:ascii="Tahoma" w:cs="Tahoma" w:eastAsia="Tahoma" w:hAnsi="Tahoma"/>
          <w:rtl w:val="0"/>
        </w:rPr>
        <w:t xml:space="preserve">communicant/e pédagogue : le/la RSSI aide les différents utilisateurs, prestataires et agents du HDH à atteindre les objectifs de sécurité de la plateforme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Tahoma" w:cs="Tahoma" w:eastAsia="Tahoma" w:hAnsi="Tahoma"/>
          <w:color w:val="000000"/>
        </w:rPr>
      </w:pPr>
      <w:r w:rsidDel="00000000" w:rsidR="00000000" w:rsidRPr="00000000">
        <w:rPr>
          <w:rFonts w:ascii="Tahoma" w:cs="Tahoma" w:eastAsia="Tahoma" w:hAnsi="Tahoma"/>
          <w:rtl w:val="0"/>
        </w:rPr>
        <w:t xml:space="preserve">rigueur de l’analyse, et réactivité : de par sa bonne maîtrise du sujet, il/elle est en capacité d’analyser la situation à tout moment, d’anticiper et d’être réactif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Tahoma" w:cs="Tahoma" w:eastAsia="Tahoma" w:hAnsi="Tahoma"/>
          <w:color w:val="000000"/>
        </w:rPr>
      </w:pPr>
      <w:r w:rsidDel="00000000" w:rsidR="00000000" w:rsidRPr="00000000">
        <w:rPr>
          <w:rFonts w:ascii="Tahoma" w:cs="Tahoma" w:eastAsia="Tahoma" w:hAnsi="Tahoma"/>
          <w:rtl w:val="0"/>
        </w:rPr>
        <w:t xml:space="preserve">pédagogie et capacité à fédérer et à convaincre : il/elle doit pouvoir embarquer et sensibiliser tous les acteurs dans cette démarche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Tahoma" w:cs="Tahoma" w:eastAsia="Tahoma" w:hAnsi="Tahoma"/>
          <w:color w:val="000000"/>
        </w:rPr>
      </w:pPr>
      <w:r w:rsidDel="00000000" w:rsidR="00000000" w:rsidRPr="00000000">
        <w:rPr>
          <w:rFonts w:ascii="Tahoma" w:cs="Tahoma" w:eastAsia="Tahoma" w:hAnsi="Tahoma"/>
          <w:rtl w:val="0"/>
        </w:rPr>
        <w:t xml:space="preserve">capacité d’adaptation : il/elle doit pouvoir s’adapter et accompagner le HDH au changement dans son passage à l’échelle.</w:t>
      </w:r>
      <w:r w:rsidDel="00000000" w:rsidR="00000000" w:rsidRPr="00000000">
        <w:rPr>
          <w:rtl w:val="0"/>
        </w:rPr>
      </w:r>
    </w:p>
    <w:p w:rsidR="00000000" w:rsidDel="00000000" w:rsidP="00000000" w:rsidRDefault="00000000" w:rsidRPr="00000000" w14:paraId="00000034">
      <w:pPr>
        <w:tabs>
          <w:tab w:val="left" w:pos="284"/>
        </w:tabs>
        <w:spacing w:before="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5">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76" w:lineRule="auto"/>
        <w:ind w:left="360" w:right="0" w:firstLine="0"/>
        <w:jc w:val="both"/>
        <w:rPr>
          <w:rFonts w:ascii="Tahoma" w:cs="Tahoma" w:eastAsia="Tahoma" w:hAnsi="Tahoma"/>
          <w:color w:val="000000"/>
          <w:sz w:val="22"/>
          <w:szCs w:val="22"/>
        </w:rPr>
      </w:pPr>
      <w:bookmarkStart w:colFirst="0" w:colLast="0" w:name="_heading=h.ml0ppvh7g2ql" w:id="8"/>
      <w:bookmarkEnd w:id="8"/>
      <w:r w:rsidDel="00000000" w:rsidR="00000000" w:rsidRPr="00000000">
        <w:rPr>
          <w:rFonts w:ascii="Tahoma" w:cs="Tahoma" w:eastAsia="Tahoma" w:hAnsi="Tahoma"/>
          <w:color w:val="000000"/>
          <w:sz w:val="22"/>
          <w:szCs w:val="22"/>
          <w:rtl w:val="0"/>
        </w:rPr>
        <w:t xml:space="preserve">Expériences souhaitables</w:t>
      </w:r>
    </w:p>
    <w:p w:rsidR="00000000" w:rsidDel="00000000" w:rsidP="00000000" w:rsidRDefault="00000000" w:rsidRPr="00000000" w14:paraId="00000036">
      <w:pPr>
        <w:numPr>
          <w:ilvl w:val="0"/>
          <w:numId w:val="5"/>
        </w:numPr>
        <w:tabs>
          <w:tab w:val="left" w:pos="284"/>
        </w:tabs>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rtl w:val="0"/>
        </w:rPr>
        <w:t xml:space="preserve">5 années d'expérience dans la cybersécurité des plateformes Cloud, ou sujet parent ;</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Tahoma" w:cs="Tahoma" w:eastAsia="Tahoma" w:hAnsi="Tahoma"/>
          <w:color w:val="000000"/>
        </w:rPr>
      </w:pPr>
      <w:r w:rsidDel="00000000" w:rsidR="00000000" w:rsidRPr="00000000">
        <w:rPr>
          <w:rFonts w:ascii="Tahoma" w:cs="Tahoma" w:eastAsia="Tahoma" w:hAnsi="Tahoma"/>
          <w:rtl w:val="0"/>
        </w:rPr>
        <w:t xml:space="preserve">mise en œuvre des exigences liées au traitement des données personnelles (RGPD) ;</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Tahoma" w:cs="Tahoma" w:eastAsia="Tahoma" w:hAnsi="Tahoma"/>
          <w:color w:val="000000"/>
        </w:rPr>
      </w:pPr>
      <w:r w:rsidDel="00000000" w:rsidR="00000000" w:rsidRPr="00000000">
        <w:rPr>
          <w:rFonts w:ascii="Tahoma" w:cs="Tahoma" w:eastAsia="Tahoma" w:hAnsi="Tahoma"/>
          <w:rtl w:val="0"/>
        </w:rPr>
        <w:t xml:space="preserve">connaissances liées aux enjeux de sécurité propres au domaine de la santé ;</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Tahoma" w:cs="Tahoma" w:eastAsia="Tahoma" w:hAnsi="Tahoma"/>
          <w:color w:val="000000"/>
        </w:rPr>
      </w:pPr>
      <w:r w:rsidDel="00000000" w:rsidR="00000000" w:rsidRPr="00000000">
        <w:rPr>
          <w:rFonts w:ascii="Tahoma" w:cs="Tahoma" w:eastAsia="Tahoma" w:hAnsi="Tahoma"/>
          <w:rtl w:val="0"/>
        </w:rPr>
        <w:t xml:space="preserve">avoir déjà utilisé les méthodes, démarches et normes qualité pour cadrer la mise en œuvre de la gouvernance et du maintien en condition opérationnelle de sécurité des systèmes d’information (ISO 27001, EBIOS 2010, EBIOS RM, ITIL, COBIT, CMMI, etc.).</w:t>
      </w:r>
      <w:r w:rsidDel="00000000" w:rsidR="00000000" w:rsidRPr="00000000">
        <w:rPr>
          <w:rtl w:val="0"/>
        </w:rPr>
      </w:r>
    </w:p>
    <w:p w:rsidR="00000000" w:rsidDel="00000000" w:rsidP="00000000" w:rsidRDefault="00000000" w:rsidRPr="00000000" w14:paraId="0000003A">
      <w:pPr>
        <w:spacing w:before="0" w:line="259" w:lineRule="auto"/>
        <w:jc w:val="both"/>
        <w:rPr>
          <w:rFonts w:ascii="Tahoma" w:cs="Tahoma" w:eastAsia="Tahoma" w:hAnsi="Tahoma"/>
          <w:b w:val="1"/>
          <w:color w:val="007fa1"/>
        </w:rPr>
      </w:pPr>
      <w:r w:rsidDel="00000000" w:rsidR="00000000" w:rsidRPr="00000000">
        <w:rPr>
          <w:rtl w:val="0"/>
        </w:rPr>
      </w:r>
    </w:p>
    <w:p w:rsidR="00000000" w:rsidDel="00000000" w:rsidP="00000000" w:rsidRDefault="00000000" w:rsidRPr="00000000" w14:paraId="0000003B">
      <w:pPr>
        <w:spacing w:before="0" w:line="259" w:lineRule="auto"/>
        <w:jc w:val="both"/>
        <w:rPr>
          <w:rFonts w:ascii="Tahoma" w:cs="Tahoma" w:eastAsia="Tahoma" w:hAnsi="Tahoma"/>
          <w:b w:val="1"/>
          <w:color w:val="036287"/>
        </w:rPr>
      </w:pPr>
      <w:r w:rsidDel="00000000" w:rsidR="00000000" w:rsidRPr="00000000">
        <w:rPr>
          <w:rFonts w:ascii="Tahoma" w:cs="Tahoma" w:eastAsia="Tahoma" w:hAnsi="Tahoma"/>
          <w:b w:val="1"/>
          <w:color w:val="036287"/>
          <w:rtl w:val="0"/>
        </w:rPr>
        <w:t xml:space="preserve">POURQUOI CHOISIR LE HEALTH DATA HUB ?</w:t>
      </w:r>
    </w:p>
    <w:p w:rsidR="00000000" w:rsidDel="00000000" w:rsidP="00000000" w:rsidRDefault="00000000" w:rsidRPr="00000000" w14:paraId="0000003C">
      <w:pPr>
        <w:spacing w:before="0" w:line="259" w:lineRule="auto"/>
        <w:jc w:val="both"/>
        <w:rPr>
          <w:rFonts w:ascii="Tahoma" w:cs="Tahoma" w:eastAsia="Tahoma" w:hAnsi="Tahoma"/>
          <w:b w:val="1"/>
          <w:color w:val="036287"/>
        </w:rPr>
      </w:pPr>
      <w:r w:rsidDel="00000000" w:rsidR="00000000" w:rsidRPr="00000000">
        <w:rPr>
          <w:rtl w:val="0"/>
        </w:rPr>
      </w:r>
    </w:p>
    <w:p w:rsidR="00000000" w:rsidDel="00000000" w:rsidP="00000000" w:rsidRDefault="00000000" w:rsidRPr="00000000" w14:paraId="0000003D">
      <w:pPr>
        <w:numPr>
          <w:ilvl w:val="0"/>
          <w:numId w:val="1"/>
        </w:numPr>
        <w:spacing w:before="0" w:line="259" w:lineRule="auto"/>
        <w:ind w:left="720" w:hanging="360"/>
        <w:jc w:val="both"/>
        <w:rPr>
          <w:rFonts w:ascii="Tahoma" w:cs="Tahoma" w:eastAsia="Tahoma" w:hAnsi="Tahoma"/>
          <w:b w:val="0"/>
          <w:color w:val="353744"/>
          <w:sz w:val="22"/>
          <w:szCs w:val="22"/>
        </w:rPr>
      </w:pPr>
      <w:r w:rsidDel="00000000" w:rsidR="00000000" w:rsidRPr="00000000">
        <w:rPr>
          <w:rFonts w:ascii="Tahoma" w:cs="Tahoma" w:eastAsia="Tahoma" w:hAnsi="Tahoma"/>
          <w:rtl w:val="0"/>
        </w:rPr>
        <w:t xml:space="preserve">Mettre ses compétences au service de l’intérêt général</w:t>
      </w:r>
    </w:p>
    <w:p w:rsidR="00000000" w:rsidDel="00000000" w:rsidP="00000000" w:rsidRDefault="00000000" w:rsidRPr="00000000" w14:paraId="0000003E">
      <w:pPr>
        <w:numPr>
          <w:ilvl w:val="0"/>
          <w:numId w:val="1"/>
        </w:numPr>
        <w:spacing w:before="0" w:line="259" w:lineRule="auto"/>
        <w:ind w:left="720" w:hanging="360"/>
        <w:jc w:val="both"/>
        <w:rPr>
          <w:rFonts w:ascii="Tahoma" w:cs="Tahoma" w:eastAsia="Tahoma" w:hAnsi="Tahoma"/>
          <w:b w:val="0"/>
          <w:color w:val="353744"/>
          <w:sz w:val="22"/>
          <w:szCs w:val="22"/>
        </w:rPr>
      </w:pPr>
      <w:r w:rsidDel="00000000" w:rsidR="00000000" w:rsidRPr="00000000">
        <w:rPr>
          <w:rFonts w:ascii="Tahoma" w:cs="Tahoma" w:eastAsia="Tahoma" w:hAnsi="Tahoma"/>
          <w:rtl w:val="0"/>
        </w:rPr>
        <w:t xml:space="preserve">Intégrer une équipe jeune, dynamique et pluridisciplinaire</w:t>
      </w:r>
    </w:p>
    <w:p w:rsidR="00000000" w:rsidDel="00000000" w:rsidP="00000000" w:rsidRDefault="00000000" w:rsidRPr="00000000" w14:paraId="0000003F">
      <w:pPr>
        <w:numPr>
          <w:ilvl w:val="0"/>
          <w:numId w:val="1"/>
        </w:numPr>
        <w:spacing w:before="0" w:line="259" w:lineRule="auto"/>
        <w:ind w:left="720" w:hanging="360"/>
        <w:jc w:val="both"/>
        <w:rPr>
          <w:rFonts w:ascii="Tahoma" w:cs="Tahoma" w:eastAsia="Tahoma" w:hAnsi="Tahoma"/>
          <w:b w:val="0"/>
          <w:color w:val="353744"/>
          <w:sz w:val="22"/>
          <w:szCs w:val="22"/>
        </w:rPr>
      </w:pPr>
      <w:r w:rsidDel="00000000" w:rsidR="00000000" w:rsidRPr="00000000">
        <w:rPr>
          <w:rFonts w:ascii="Tahoma" w:cs="Tahoma" w:eastAsia="Tahoma" w:hAnsi="Tahoma"/>
          <w:rtl w:val="0"/>
        </w:rPr>
        <w:t xml:space="preserve">Intégrer une structure en forte croissance et avec de nombreuses possibilités d’évolution</w:t>
      </w:r>
    </w:p>
    <w:p w:rsidR="00000000" w:rsidDel="00000000" w:rsidP="00000000" w:rsidRDefault="00000000" w:rsidRPr="00000000" w14:paraId="00000040">
      <w:pPr>
        <w:numPr>
          <w:ilvl w:val="0"/>
          <w:numId w:val="1"/>
        </w:numPr>
        <w:spacing w:before="0" w:line="259" w:lineRule="auto"/>
        <w:ind w:left="720" w:hanging="360"/>
        <w:jc w:val="both"/>
        <w:rPr>
          <w:rFonts w:ascii="Tahoma" w:cs="Tahoma" w:eastAsia="Tahoma" w:hAnsi="Tahoma"/>
          <w:b w:val="0"/>
          <w:color w:val="353744"/>
          <w:sz w:val="22"/>
          <w:szCs w:val="22"/>
        </w:rPr>
      </w:pPr>
      <w:r w:rsidDel="00000000" w:rsidR="00000000" w:rsidRPr="00000000">
        <w:rPr>
          <w:rFonts w:ascii="Tahoma" w:cs="Tahoma" w:eastAsia="Tahoma" w:hAnsi="Tahoma"/>
          <w:rtl w:val="0"/>
        </w:rPr>
        <w:t xml:space="preserve">Évoluer dans un environnement technologique stimulant, varié et à l’état de l’art</w:t>
      </w:r>
    </w:p>
    <w:p w:rsidR="00000000" w:rsidDel="00000000" w:rsidP="00000000" w:rsidRDefault="00000000" w:rsidRPr="00000000" w14:paraId="00000041">
      <w:pPr>
        <w:numPr>
          <w:ilvl w:val="0"/>
          <w:numId w:val="1"/>
        </w:numPr>
        <w:spacing w:before="0" w:line="259" w:lineRule="auto"/>
        <w:ind w:left="720" w:hanging="360"/>
        <w:jc w:val="both"/>
        <w:rPr>
          <w:rFonts w:ascii="Tahoma" w:cs="Tahoma" w:eastAsia="Tahoma" w:hAnsi="Tahoma"/>
          <w:b w:val="0"/>
          <w:color w:val="353744"/>
          <w:sz w:val="22"/>
          <w:szCs w:val="22"/>
        </w:rPr>
      </w:pPr>
      <w:r w:rsidDel="00000000" w:rsidR="00000000" w:rsidRPr="00000000">
        <w:rPr>
          <w:rFonts w:ascii="Tahoma" w:cs="Tahoma" w:eastAsia="Tahoma" w:hAnsi="Tahoma"/>
          <w:rtl w:val="0"/>
        </w:rPr>
        <w:t xml:space="preserve">Rémunération attractive et compétitive</w:t>
      </w:r>
    </w:p>
    <w:p w:rsidR="00000000" w:rsidDel="00000000" w:rsidP="00000000" w:rsidRDefault="00000000" w:rsidRPr="00000000" w14:paraId="00000042">
      <w:pPr>
        <w:numPr>
          <w:ilvl w:val="0"/>
          <w:numId w:val="1"/>
        </w:numPr>
        <w:spacing w:before="0" w:line="259" w:lineRule="auto"/>
        <w:ind w:left="720" w:hanging="360"/>
        <w:jc w:val="both"/>
        <w:rPr>
          <w:rFonts w:ascii="Tahoma" w:cs="Tahoma" w:eastAsia="Tahoma" w:hAnsi="Tahoma"/>
          <w:b w:val="0"/>
          <w:color w:val="353744"/>
          <w:sz w:val="22"/>
          <w:szCs w:val="22"/>
        </w:rPr>
      </w:pPr>
      <w:r w:rsidDel="00000000" w:rsidR="00000000" w:rsidRPr="00000000">
        <w:rPr>
          <w:rFonts w:ascii="Tahoma" w:cs="Tahoma" w:eastAsia="Tahoma" w:hAnsi="Tahoma"/>
          <w:rtl w:val="0"/>
        </w:rPr>
        <w:t xml:space="preserve">Des bureaux au coeur de Paris</w:t>
      </w:r>
    </w:p>
    <w:p w:rsidR="00000000" w:rsidDel="00000000" w:rsidP="00000000" w:rsidRDefault="00000000" w:rsidRPr="00000000" w14:paraId="00000043">
      <w:pPr>
        <w:spacing w:before="0" w:line="259" w:lineRule="auto"/>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44">
      <w:pPr>
        <w:spacing w:before="0" w:line="259" w:lineRule="auto"/>
        <w:jc w:val="both"/>
        <w:rPr>
          <w:rFonts w:ascii="Tahoma" w:cs="Tahoma" w:eastAsia="Tahoma" w:hAnsi="Tahoma"/>
          <w:b w:val="1"/>
          <w:color w:val="036287"/>
        </w:rPr>
      </w:pPr>
      <w:r w:rsidDel="00000000" w:rsidR="00000000" w:rsidRPr="00000000">
        <w:rPr>
          <w:rFonts w:ascii="Tahoma" w:cs="Tahoma" w:eastAsia="Tahoma" w:hAnsi="Tahoma"/>
          <w:b w:val="1"/>
          <w:color w:val="036287"/>
          <w:rtl w:val="0"/>
        </w:rPr>
        <w:t xml:space="preserve">PROCÉDURE DE RECRUTEMENT</w:t>
      </w:r>
    </w:p>
    <w:p w:rsidR="00000000" w:rsidDel="00000000" w:rsidP="00000000" w:rsidRDefault="00000000" w:rsidRPr="00000000" w14:paraId="00000045">
      <w:pPr>
        <w:spacing w:before="0" w:line="259" w:lineRule="auto"/>
        <w:jc w:val="both"/>
        <w:rPr>
          <w:rFonts w:ascii="Tahoma" w:cs="Tahoma" w:eastAsia="Tahoma" w:hAnsi="Tahoma"/>
        </w:rPr>
      </w:pPr>
      <w:r w:rsidDel="00000000" w:rsidR="00000000" w:rsidRPr="00000000">
        <w:rPr>
          <w:rFonts w:ascii="Tahoma" w:cs="Tahoma" w:eastAsia="Tahoma" w:hAnsi="Tahoma"/>
          <w:rtl w:val="0"/>
        </w:rPr>
        <w:t xml:space="preserve">Après avoir postulé, le recrutement se déroulera de la manière suivante : </w:t>
      </w:r>
    </w:p>
    <w:p w:rsidR="00000000" w:rsidDel="00000000" w:rsidP="00000000" w:rsidRDefault="00000000" w:rsidRPr="00000000" w14:paraId="00000046">
      <w:pPr>
        <w:numPr>
          <w:ilvl w:val="0"/>
          <w:numId w:val="2"/>
        </w:numPr>
        <w:spacing w:before="0" w:line="259" w:lineRule="auto"/>
        <w:ind w:left="720" w:hanging="360"/>
        <w:jc w:val="both"/>
        <w:rPr>
          <w:rFonts w:ascii="Tahoma" w:cs="Tahoma" w:eastAsia="Tahoma" w:hAnsi="Tahoma"/>
          <w:b w:val="0"/>
          <w:color w:val="353744"/>
          <w:sz w:val="22"/>
          <w:szCs w:val="22"/>
        </w:rPr>
      </w:pPr>
      <w:r w:rsidDel="00000000" w:rsidR="00000000" w:rsidRPr="00000000">
        <w:rPr>
          <w:rFonts w:ascii="Tahoma" w:cs="Tahoma" w:eastAsia="Tahoma" w:hAnsi="Tahoma"/>
          <w:rtl w:val="0"/>
        </w:rPr>
        <w:t xml:space="preserve">Un premier entretien avec le directeur de l’équipe</w:t>
      </w:r>
    </w:p>
    <w:p w:rsidR="00000000" w:rsidDel="00000000" w:rsidP="00000000" w:rsidRDefault="00000000" w:rsidRPr="00000000" w14:paraId="00000047">
      <w:pPr>
        <w:numPr>
          <w:ilvl w:val="0"/>
          <w:numId w:val="2"/>
        </w:numPr>
        <w:spacing w:before="0" w:line="259" w:lineRule="auto"/>
        <w:ind w:left="720" w:hanging="360"/>
        <w:jc w:val="both"/>
        <w:rPr>
          <w:rFonts w:ascii="Tahoma" w:cs="Tahoma" w:eastAsia="Tahoma" w:hAnsi="Tahoma"/>
          <w:b w:val="0"/>
          <w:color w:val="353744"/>
          <w:sz w:val="22"/>
          <w:szCs w:val="22"/>
        </w:rPr>
      </w:pPr>
      <w:r w:rsidDel="00000000" w:rsidR="00000000" w:rsidRPr="00000000">
        <w:rPr>
          <w:rFonts w:ascii="Tahoma" w:cs="Tahoma" w:eastAsia="Tahoma" w:hAnsi="Tahoma"/>
          <w:rtl w:val="0"/>
        </w:rPr>
        <w:t xml:space="preserve">Un test à réaliser chez soi</w:t>
      </w:r>
    </w:p>
    <w:p w:rsidR="00000000" w:rsidDel="00000000" w:rsidP="00000000" w:rsidRDefault="00000000" w:rsidRPr="00000000" w14:paraId="00000048">
      <w:pPr>
        <w:numPr>
          <w:ilvl w:val="0"/>
          <w:numId w:val="2"/>
        </w:numPr>
        <w:spacing w:before="0" w:line="259" w:lineRule="auto"/>
        <w:ind w:left="720" w:hanging="360"/>
        <w:jc w:val="both"/>
        <w:rPr>
          <w:rFonts w:ascii="Tahoma" w:cs="Tahoma" w:eastAsia="Tahoma" w:hAnsi="Tahoma"/>
          <w:b w:val="0"/>
          <w:color w:val="353744"/>
          <w:sz w:val="22"/>
          <w:szCs w:val="22"/>
        </w:rPr>
      </w:pPr>
      <w:r w:rsidDel="00000000" w:rsidR="00000000" w:rsidRPr="00000000">
        <w:rPr>
          <w:rFonts w:ascii="Tahoma" w:cs="Tahoma" w:eastAsia="Tahoma" w:hAnsi="Tahoma"/>
          <w:rtl w:val="0"/>
        </w:rPr>
        <w:t xml:space="preserve">Un entretien technique, basé sur le test</w:t>
      </w:r>
    </w:p>
    <w:p w:rsidR="00000000" w:rsidDel="00000000" w:rsidP="00000000" w:rsidRDefault="00000000" w:rsidRPr="00000000" w14:paraId="00000049">
      <w:pPr>
        <w:numPr>
          <w:ilvl w:val="0"/>
          <w:numId w:val="2"/>
        </w:numPr>
        <w:spacing w:before="0" w:line="259" w:lineRule="auto"/>
        <w:ind w:left="720" w:hanging="360"/>
        <w:jc w:val="both"/>
        <w:rPr>
          <w:rFonts w:ascii="Tahoma" w:cs="Tahoma" w:eastAsia="Tahoma" w:hAnsi="Tahoma"/>
          <w:b w:val="0"/>
          <w:color w:val="353744"/>
          <w:sz w:val="22"/>
          <w:szCs w:val="22"/>
        </w:rPr>
      </w:pPr>
      <w:r w:rsidDel="00000000" w:rsidR="00000000" w:rsidRPr="00000000">
        <w:rPr>
          <w:rFonts w:ascii="Tahoma" w:cs="Tahoma" w:eastAsia="Tahoma" w:hAnsi="Tahoma"/>
          <w:rtl w:val="0"/>
        </w:rPr>
        <w:t xml:space="preserve">Un entretien final avec la directrice du Health Data Hub </w:t>
      </w:r>
      <w:r w:rsidDel="00000000" w:rsidR="00000000" w:rsidRPr="00000000">
        <w:rPr>
          <w:rtl w:val="0"/>
        </w:rPr>
      </w:r>
    </w:p>
    <w:p w:rsidR="00000000" w:rsidDel="00000000" w:rsidP="00000000" w:rsidRDefault="00000000" w:rsidRPr="00000000" w14:paraId="0000004A">
      <w:pPr>
        <w:pStyle w:val="Heading2"/>
        <w:tabs>
          <w:tab w:val="right" w:pos="8010"/>
        </w:tabs>
        <w:spacing w:before="0" w:line="276" w:lineRule="auto"/>
        <w:ind w:left="360" w:firstLine="0"/>
        <w:jc w:val="both"/>
        <w:rPr>
          <w:rFonts w:ascii="Tahoma" w:cs="Tahoma" w:eastAsia="Tahoma" w:hAnsi="Tahoma"/>
          <w:color w:val="353744"/>
          <w:sz w:val="22"/>
          <w:szCs w:val="22"/>
        </w:rPr>
      </w:pPr>
      <w:bookmarkStart w:colFirst="0" w:colLast="0" w:name="_heading=h.8uxgu5s4001c" w:id="9"/>
      <w:bookmarkEnd w:id="9"/>
      <w:r w:rsidDel="00000000" w:rsidR="00000000" w:rsidRPr="00000000">
        <w:rPr>
          <w:rtl w:val="0"/>
        </w:rPr>
      </w:r>
    </w:p>
    <w:p w:rsidR="00000000" w:rsidDel="00000000" w:rsidP="00000000" w:rsidRDefault="00000000" w:rsidRPr="00000000" w14:paraId="0000004B">
      <w:pPr>
        <w:pStyle w:val="Heading2"/>
        <w:tabs>
          <w:tab w:val="right" w:pos="8010"/>
        </w:tabs>
        <w:spacing w:before="0" w:line="276" w:lineRule="auto"/>
        <w:ind w:left="0" w:firstLine="0"/>
        <w:jc w:val="both"/>
        <w:rPr>
          <w:rFonts w:ascii="Tahoma" w:cs="Tahoma" w:eastAsia="Tahoma" w:hAnsi="Tahoma"/>
          <w:color w:val="000000"/>
          <w:u w:val="single"/>
        </w:rPr>
      </w:pPr>
      <w:bookmarkStart w:colFirst="0" w:colLast="0" w:name="_heading=h.umuz3rvg4v8d" w:id="10"/>
      <w:bookmarkEnd w:id="10"/>
      <w:r w:rsidDel="00000000" w:rsidR="00000000" w:rsidRPr="00000000">
        <w:rPr>
          <w:rFonts w:ascii="Tahoma" w:cs="Tahoma" w:eastAsia="Tahoma" w:hAnsi="Tahoma"/>
          <w:color w:val="353744"/>
          <w:sz w:val="22"/>
          <w:szCs w:val="22"/>
          <w:rtl w:val="0"/>
        </w:rPr>
        <w:t xml:space="preserve">Pour postuler: </w:t>
      </w:r>
      <w:r w:rsidDel="00000000" w:rsidR="00000000" w:rsidRPr="00000000">
        <w:rPr>
          <w:rFonts w:ascii="Tahoma" w:cs="Tahoma" w:eastAsia="Tahoma" w:hAnsi="Tahoma"/>
          <w:b w:val="0"/>
          <w:color w:val="000000"/>
          <w:sz w:val="22"/>
          <w:szCs w:val="22"/>
          <w:highlight w:val="white"/>
          <w:rtl w:val="0"/>
        </w:rPr>
        <w:t xml:space="preserve">CV et lettre de motivation à l’adresse</w:t>
      </w:r>
      <w:r w:rsidDel="00000000" w:rsidR="00000000" w:rsidRPr="00000000">
        <w:rPr>
          <w:rFonts w:ascii="Tahoma" w:cs="Tahoma" w:eastAsia="Tahoma" w:hAnsi="Tahoma"/>
          <w:color w:val="353744"/>
          <w:sz w:val="22"/>
          <w:szCs w:val="22"/>
          <w:rtl w:val="0"/>
        </w:rPr>
        <w:t xml:space="preserve"> </w:t>
      </w:r>
      <w:hyperlink r:id="rId8">
        <w:r w:rsidDel="00000000" w:rsidR="00000000" w:rsidRPr="00000000">
          <w:rPr>
            <w:rFonts w:ascii="Tahoma" w:cs="Tahoma" w:eastAsia="Tahoma" w:hAnsi="Tahoma"/>
            <w:color w:val="353744"/>
            <w:sz w:val="22"/>
            <w:szCs w:val="22"/>
            <w:rtl w:val="0"/>
          </w:rPr>
          <w:t xml:space="preserve">jobs@health-data-hub.fr</w:t>
        </w:r>
      </w:hyperlink>
      <w:r w:rsidDel="00000000" w:rsidR="00000000" w:rsidRPr="00000000">
        <w:rPr>
          <w:rtl w:val="0"/>
        </w:rPr>
      </w:r>
    </w:p>
    <w:p w:rsidR="00000000" w:rsidDel="00000000" w:rsidP="00000000" w:rsidRDefault="00000000" w:rsidRPr="00000000" w14:paraId="0000004C">
      <w:pPr>
        <w:spacing w:before="0" w:line="276" w:lineRule="auto"/>
        <w:jc w:val="both"/>
        <w:rPr/>
      </w:pPr>
      <w:r w:rsidDel="00000000" w:rsidR="00000000" w:rsidRPr="00000000">
        <w:rPr>
          <w:rtl w:val="0"/>
        </w:rPr>
      </w:r>
    </w:p>
    <w:sectPr>
      <w:headerReference r:id="rId9" w:type="default"/>
      <w:headerReference r:id="rId10" w:type="first"/>
      <w:footerReference r:id="rId11"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400" w:lineRule="auto"/>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color w:val="1155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fr"/>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b w:val="1"/>
      <w:sz w:val="28"/>
      <w:szCs w:val="28"/>
    </w:rPr>
  </w:style>
  <w:style w:type="paragraph" w:styleId="Heading2">
    <w:name w:val="heading 2"/>
    <w:basedOn w:val="Normal"/>
    <w:next w:val="Normal"/>
    <w:pPr>
      <w:spacing w:before="0" w:line="276" w:lineRule="auto"/>
      <w:ind w:left="360"/>
      <w:jc w:val="both"/>
    </w:pPr>
    <w:rPr>
      <w:b w:val="1"/>
      <w:color w:val="1155cc"/>
      <w:sz w:val="28"/>
      <w:szCs w:val="28"/>
    </w:rPr>
  </w:style>
  <w:style w:type="paragraph" w:styleId="Heading3">
    <w:name w:val="heading 3"/>
    <w:basedOn w:val="Normal"/>
    <w:next w:val="Normal"/>
    <w:pPr>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spacing w:before="320" w:line="240" w:lineRule="auto"/>
    </w:pPr>
    <w:rPr>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b w:val="1"/>
      <w:sz w:val="28"/>
      <w:szCs w:val="28"/>
    </w:rPr>
  </w:style>
  <w:style w:type="paragraph" w:styleId="Heading2">
    <w:name w:val="heading 2"/>
    <w:basedOn w:val="Normal"/>
    <w:next w:val="Normal"/>
    <w:pPr>
      <w:spacing w:before="0" w:line="276" w:lineRule="auto"/>
      <w:ind w:left="360"/>
      <w:jc w:val="both"/>
    </w:pPr>
    <w:rPr>
      <w:b w:val="1"/>
      <w:color w:val="1155cc"/>
      <w:sz w:val="28"/>
      <w:szCs w:val="28"/>
    </w:rPr>
  </w:style>
  <w:style w:type="paragraph" w:styleId="Heading3">
    <w:name w:val="heading 3"/>
    <w:basedOn w:val="Normal"/>
    <w:next w:val="Normal"/>
    <w:pPr>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spacing w:before="320" w:line="240" w:lineRule="auto"/>
    </w:pPr>
    <w:rPr>
      <w:sz w:val="72"/>
      <w:szCs w:val="72"/>
    </w:rPr>
  </w:style>
  <w:style w:type="paragraph" w:styleId="Subtitle">
    <w:name w:val="Subtitle"/>
    <w:basedOn w:val="Normal"/>
    <w:next w:val="Normal"/>
    <w:pPr>
      <w:spacing w:before="0" w:line="240" w:lineRule="auto"/>
    </w:pPr>
    <w:rPr>
      <w:color w:val="666666"/>
      <w:sz w:val="26"/>
      <w:szCs w:val="26"/>
    </w:rPr>
  </w:style>
  <w:style w:type="paragraph" w:styleId="Subtitle">
    <w:name w:val="Subtitle"/>
    <w:basedOn w:val="Normal"/>
    <w:next w:val="Normal"/>
    <w:pPr>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ealth-data-hub.fr/" TargetMode="External"/><Relationship Id="rId8" Type="http://schemas.openxmlformats.org/officeDocument/2006/relationships/hyperlink" Target="mailto:jobs@health-data-hub.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zf+engJwc0BbiFcVxZL6ueN/ew==">AMUW2mXHIwMHSuzDLNGPOzqEH0TJeUfnngb0MMGQVwnr2dfoO1zaQ2CyDIXlsmnvQSlLLZncqS9EnA3M64w6maVZrPl608Wc5T9jfROVPsaXSpwVbBG59Njb6loz/XnYDBV/P1VVd2ipZC3EjIaivZXGlSntc2QpblJncGlnDzdn+rqrgk3kWzcHZf4njNifvr2s44XHlF7jrtqXCcOhuFnu0oiyf4KzuWzKKkEQRv/bU7xZxUWA8yu/xAJAyyEu4a3ZXoOhTQ8LDwJPO6U1VkKNk+GHYFHSGfSE0TNFcLFfHFlt743EC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