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0.0" w:type="dxa"/>
        <w:jc w:val="left"/>
        <w:tblInd w:w="-28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60"/>
        <w:tblGridChange w:id="0">
          <w:tblGrid>
            <w:gridCol w:w="10760"/>
          </w:tblGrid>
        </w:tblGridChange>
      </w:tblGrid>
      <w:tr>
        <w:trPr>
          <w:cantSplit w:val="0"/>
          <w:trHeight w:val="14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ahoma" w:cs="Tahoma" w:eastAsia="Tahoma" w:hAnsi="Tahoma"/>
                <w:color w:val="036287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36287"/>
                <w:sz w:val="36"/>
                <w:szCs w:val="36"/>
                <w:rtl w:val="0"/>
              </w:rPr>
              <w:t xml:space="preserve">RÉSUMÉ DE L'ÉTUDE, RECHERCHE OU ÉVALUATION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Subtitle"/>
              <w:rPr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à l’attention du porteur de projet appliquant une MR-007</w:t>
            </w:r>
          </w:p>
          <w:p w:rsidR="00000000" w:rsidDel="00000000" w:rsidP="00000000" w:rsidRDefault="00000000" w:rsidRPr="00000000" w14:paraId="00000005">
            <w:pPr>
              <w:pStyle w:val="Subtitle"/>
              <w:rPr>
                <w:i w:val="1"/>
                <w:color w:val="1b84a0"/>
                <w:sz w:val="26"/>
                <w:szCs w:val="26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Obligatoirement en français – 4 pages maximum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ind w:right="708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Ind w:w="121.0" w:type="dxa"/>
        <w:tblBorders>
          <w:top w:color="1b84a0" w:space="0" w:sz="4" w:val="single"/>
          <w:left w:color="1b84a0" w:space="0" w:sz="4" w:val="single"/>
          <w:bottom w:color="1b84a0" w:space="0" w:sz="4" w:val="single"/>
          <w:right w:color="1b84a0" w:space="0" w:sz="4" w:val="single"/>
          <w:insideH w:color="1b84a0" w:space="0" w:sz="4" w:val="single"/>
          <w:insideV w:color="1b84a0" w:space="0" w:sz="4" w:val="single"/>
        </w:tblBorders>
        <w:tblLayout w:type="fixed"/>
        <w:tblLook w:val="0400"/>
      </w:tblPr>
      <w:tblGrid>
        <w:gridCol w:w="3030"/>
        <w:gridCol w:w="6705"/>
        <w:tblGridChange w:id="0">
          <w:tblGrid>
            <w:gridCol w:w="3030"/>
            <w:gridCol w:w="6705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Titre/Acronyme</w:t>
            </w:r>
          </w:p>
          <w:p w:rsidR="00000000" w:rsidDel="00000000" w:rsidP="00000000" w:rsidRDefault="00000000" w:rsidRPr="00000000" w14:paraId="00000008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sera rendu public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S’agit-il d’une demande qui concerne une étude en cours de réalisation ayant déjà fait l’objet d’un avis expressément favorable  par le CESREES dans le cadre d’une MR-007 ?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Oui                            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line="240" w:lineRule="auto"/>
              <w:ind w:left="720" w:right="708" w:hanging="360"/>
              <w:rPr>
                <w:rFonts w:ascii="Tahoma" w:cs="Tahoma" w:eastAsia="Tahoma" w:hAnsi="Tahom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Si oui, précisez le numéro de dossier initial et la date de l’avis du CESREES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Numéro du projet initial</w:t>
            </w:r>
            <w:r w:rsidDel="00000000" w:rsidR="00000000" w:rsidRPr="00000000">
              <w:rPr>
                <w:rFonts w:ascii="Tahoma" w:cs="Tahoma" w:eastAsia="Tahoma" w:hAnsi="Tahoma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Date de l’avis du CESREES: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Si oui, précisez la raison pour laquelle cette demande est réalisée ?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Le renouvellement d’un accès à la base principale du SNDS ;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 prolongation de la durée d’accès à la base principale du SNDS ;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Autres, précisez :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Si oui, précisez la date de fin d’accès aux données </w:t>
            </w:r>
          </w:p>
          <w:p w:rsidR="00000000" w:rsidDel="00000000" w:rsidP="00000000" w:rsidRDefault="00000000" w:rsidRPr="00000000" w14:paraId="00000017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(un délai anticipation doit être prévu pour que la convention ne soit pas à échéance)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gridSpan w:val="2"/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shd w:fill="036287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ind w:left="33" w:right="40" w:firstLine="0"/>
              <w:jc w:val="center"/>
              <w:rPr>
                <w:rFonts w:ascii="Tahoma" w:cs="Tahoma" w:eastAsia="Tahoma" w:hAnsi="Tahoma"/>
                <w:b w:val="1"/>
                <w:color w:val="ffffff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rtl w:val="0"/>
              </w:rPr>
              <w:t xml:space="preserve">Présentation de l’équipe projet</w:t>
            </w:r>
          </w:p>
        </w:tc>
      </w:tr>
      <w:tr>
        <w:trPr>
          <w:cantSplit w:val="0"/>
          <w:trHeight w:val="385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ind w:right="175"/>
              <w:rPr>
                <w:rFonts w:ascii="Tahoma" w:cs="Tahoma" w:eastAsia="Tahoma" w:hAnsi="Tahom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Responsable de traitement (RT)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60" w:before="60" w:line="240" w:lineRule="auto"/>
              <w:ind w:right="175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Merci de préciser 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L’organisme d’appartenance 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nom du représentant juridique et sa fonction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nom du responsable scientifique et sa fonction si différent, et l’équipe associée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comité Scientifique 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(le cas échéant)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Délégué à la protection des données – DPD 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="240" w:lineRule="auto"/>
              <w:ind w:right="175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Responsable de la mise en œuvre – RMO </w:t>
            </w:r>
          </w:p>
          <w:p w:rsidR="00000000" w:rsidDel="00000000" w:rsidP="00000000" w:rsidRDefault="00000000" w:rsidRPr="00000000" w14:paraId="00000024">
            <w:pPr>
              <w:spacing w:after="60" w:before="60" w:line="240" w:lineRule="auto"/>
              <w:ind w:right="175"/>
              <w:jc w:val="center"/>
              <w:rPr>
                <w:rFonts w:ascii="Tahoma" w:cs="Tahoma" w:eastAsia="Tahoma" w:hAnsi="Tahom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– Laboratoire de recherche ou bureau d’études, le cas échéant (LRBE) 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shd w:fill="036287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="240" w:lineRule="auto"/>
              <w:ind w:left="33" w:right="40" w:firstLine="0"/>
              <w:jc w:val="center"/>
              <w:rPr>
                <w:rFonts w:ascii="Tahoma" w:cs="Tahoma" w:eastAsia="Tahoma" w:hAnsi="Tahoma"/>
                <w:b w:val="1"/>
                <w:color w:val="ffffff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rtl w:val="0"/>
              </w:rPr>
              <w:t xml:space="preserve">Objectifs et finalités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="240" w:lineRule="auto"/>
              <w:ind w:right="34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Contexte de l’étude </w:t>
            </w:r>
          </w:p>
          <w:p w:rsidR="00000000" w:rsidDel="00000000" w:rsidP="00000000" w:rsidRDefault="00000000" w:rsidRPr="00000000" w14:paraId="00000029">
            <w:pPr>
              <w:spacing w:after="60" w:before="60" w:line="240" w:lineRule="auto"/>
              <w:ind w:right="34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et objectifs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="240" w:lineRule="auto"/>
              <w:ind w:right="34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Justification de </w:t>
              <w:br w:type="textWrapping"/>
              <w:t xml:space="preserve">l’Intérêt public*</w:t>
            </w:r>
          </w:p>
          <w:p w:rsidR="00000000" w:rsidDel="00000000" w:rsidP="00000000" w:rsidRDefault="00000000" w:rsidRPr="00000000" w14:paraId="0000002C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(Bénéfice du projet pour la société, effort de transparence de publication des résultats)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Publication des résultats et valorisation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before="60" w:line="240" w:lineRule="auto"/>
              <w:ind w:left="720" w:right="708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Bilan CNIL/CESREES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240" w:lineRule="auto"/>
              <w:ind w:left="720" w:right="708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Publication(s) scientifique(s)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line="240" w:lineRule="auto"/>
              <w:ind w:left="720" w:right="708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Communication(s) grand public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40" w:lineRule="auto"/>
              <w:ind w:left="720" w:right="708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Communication(s) à destination des autorités publiques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40" w:lineRule="auto"/>
              <w:ind w:left="720" w:right="708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Communication(s) orale(s) (conférences scientifiques)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60" w:line="240" w:lineRule="auto"/>
              <w:ind w:left="720" w:right="708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Autre type de communication, précisez :</w:t>
            </w:r>
          </w:p>
          <w:p w:rsidR="00000000" w:rsidDel="00000000" w:rsidP="00000000" w:rsidRDefault="00000000" w:rsidRPr="00000000" w14:paraId="00000035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shd w:fill="036287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60" w:before="60" w:line="240" w:lineRule="auto"/>
              <w:ind w:left="33" w:right="40" w:firstLine="0"/>
              <w:jc w:val="center"/>
              <w:rPr>
                <w:rFonts w:ascii="Tahoma" w:cs="Tahoma" w:eastAsia="Tahoma" w:hAnsi="Tahoma"/>
                <w:b w:val="1"/>
                <w:color w:val="ffffff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rtl w:val="0"/>
              </w:rPr>
              <w:t xml:space="preserve">Méthodologie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(a)Population ciblée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  <w:br w:type="textWrapping"/>
              <w:t xml:space="preserve">(critères d’inclusion et non inclusion)</w:t>
            </w:r>
          </w:p>
          <w:p w:rsidR="00000000" w:rsidDel="00000000" w:rsidP="00000000" w:rsidRDefault="00000000" w:rsidRPr="00000000" w14:paraId="00000039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(b) Période d’inclusion ou de ciblage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(c) Période d’extraction demandée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60" w:before="60" w:line="240" w:lineRule="auto"/>
              <w:ind w:left="34" w:right="34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(a)</w:t>
            </w:r>
          </w:p>
          <w:p w:rsidR="00000000" w:rsidDel="00000000" w:rsidP="00000000" w:rsidRDefault="00000000" w:rsidRPr="00000000" w14:paraId="0000003F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(b) De                         à     </w:t>
            </w:r>
          </w:p>
          <w:p w:rsidR="00000000" w:rsidDel="00000000" w:rsidP="00000000" w:rsidRDefault="00000000" w:rsidRPr="00000000" w14:paraId="00000042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(c)  De                          à</w:t>
            </w:r>
          </w:p>
          <w:p w:rsidR="00000000" w:rsidDel="00000000" w:rsidP="00000000" w:rsidRDefault="00000000" w:rsidRPr="00000000" w14:paraId="00000045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Taille de la population et représentativité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="240" w:lineRule="auto"/>
              <w:ind w:right="34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Méthode et analyse des données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9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Calendrier prévisionnel et faisabilité</w:t>
            </w:r>
          </w:p>
          <w:p w:rsidR="00000000" w:rsidDel="00000000" w:rsidP="00000000" w:rsidRDefault="00000000" w:rsidRPr="00000000" w14:paraId="0000004B">
            <w:pPr>
              <w:spacing w:after="60" w:before="60" w:line="240" w:lineRule="auto"/>
              <w:ind w:right="175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shd w:fill="036287" w:val="clear"/>
          </w:tcPr>
          <w:p w:rsidR="00000000" w:rsidDel="00000000" w:rsidP="00000000" w:rsidRDefault="00000000" w:rsidRPr="00000000" w14:paraId="0000004F">
            <w:pPr>
              <w:spacing w:after="60" w:before="60" w:line="240" w:lineRule="auto"/>
              <w:ind w:left="33" w:right="40" w:firstLine="0"/>
              <w:jc w:val="center"/>
              <w:rPr>
                <w:rFonts w:ascii="Tahoma" w:cs="Tahoma" w:eastAsia="Tahoma" w:hAnsi="Tahoma"/>
                <w:b w:val="1"/>
                <w:color w:val="ffffff"/>
                <w:sz w:val="20"/>
                <w:szCs w:val="20"/>
                <w:shd w:fill="1b84a0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rtl w:val="0"/>
              </w:rPr>
              <w:t xml:space="preserve">Protection de la vie privée, sécurité et confidentialité des données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Information des patients et protection des droits</w:t>
            </w:r>
          </w:p>
          <w:p w:rsidR="00000000" w:rsidDel="00000000" w:rsidP="00000000" w:rsidRDefault="00000000" w:rsidRPr="00000000" w14:paraId="00000052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60" w:before="60" w:line="240" w:lineRule="auto"/>
              <w:ind w:right="709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Modalités de diffusion de l’information collective :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spacing w:before="60" w:line="240" w:lineRule="auto"/>
              <w:ind w:left="720" w:right="709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Portail de transparence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spacing w:line="240" w:lineRule="auto"/>
              <w:ind w:left="720" w:right="709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Site web du RT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spacing w:line="240" w:lineRule="auto"/>
              <w:ind w:left="720" w:right="709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Site web du RMO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spacing w:line="240" w:lineRule="auto"/>
              <w:ind w:left="720" w:right="709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Réseaux sociaux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spacing w:after="60" w:line="240" w:lineRule="auto"/>
              <w:ind w:left="720" w:right="709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Répertoire public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spacing w:after="60" w:before="60" w:line="240" w:lineRule="auto"/>
              <w:ind w:left="720" w:right="709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Autres, précisez: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Hébergement des données dans le cadre du projet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</w:tcPr>
          <w:p w:rsidR="00000000" w:rsidDel="00000000" w:rsidP="00000000" w:rsidRDefault="00000000" w:rsidRPr="00000000" w14:paraId="0000005B">
            <w:pPr>
              <w:numPr>
                <w:ilvl w:val="0"/>
                <w:numId w:val="5"/>
              </w:numPr>
              <w:spacing w:before="60" w:line="240" w:lineRule="auto"/>
              <w:ind w:left="720" w:right="709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Portail de la CNAM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spacing w:after="60" w:before="60" w:line="240" w:lineRule="auto"/>
              <w:ind w:left="720" w:right="709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Autres (système fils), précisez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Durée d’accès ou de conservation des  données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En année :                 an(s)</w:t>
            </w:r>
          </w:p>
        </w:tc>
      </w:tr>
    </w:tbl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4" w:w="11909" w:orient="portrait"/>
      <w:pgMar w:bottom="1440" w:top="1700" w:left="1440" w:right="1440" w:header="720" w:footer="1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tabs>
        <w:tab w:val="center" w:leader="none" w:pos="4536"/>
        <w:tab w:val="right" w:leader="none" w:pos="9072"/>
      </w:tabs>
      <w:spacing w:line="240" w:lineRule="auto"/>
      <w:jc w:val="right"/>
      <w:rPr>
        <w:rFonts w:ascii="Tahoma" w:cs="Tahoma" w:eastAsia="Tahoma" w:hAnsi="Tahoma"/>
        <w:sz w:val="16"/>
        <w:szCs w:val="16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6"/>
        <w:szCs w:val="16"/>
      </w:rPr>
    </w:pP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Résumé de l’étude, recherche ou évaluation - MR-007</w:t>
    </w:r>
  </w:p>
  <w:p w:rsidR="00000000" w:rsidDel="00000000" w:rsidP="00000000" w:rsidRDefault="00000000" w:rsidRPr="00000000" w14:paraId="00000068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La période de ciblage et la période d’extraction peuvent différer. Par exemple : On veut faire une étude sur des patients  hospitalisés pour un infarctus du myocarde de 2018 à 2020 et les suivre jusqu’à 2023, on aura donc une période de ciblage de  2018 à 2020 et une période d’extraction allant de 2020 à 2023. </w:t>
      </w:r>
    </w:p>
  </w:footnote>
  <w:footnote w:id="2"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La durée d’accès correspond à la durée nécessaire pour réaliser l’étude. Concrètement, il s’agit de la période pendant laquelle les données seront à la disposition du porteur de projet . Cette durée ne peut excéder 5 ans. Aucun archivage ne peut être réalisé. Cette durée peut  exceptionnellement être prolongée pour une durée maximale de 2 ans, sous réserve d’un nouvel avis expressément favorable du CESREES.</w:t>
      </w:r>
    </w:p>
  </w:footnote>
  <w:footnote w:id="0">
    <w:p w:rsidR="00000000" w:rsidDel="00000000" w:rsidP="00000000" w:rsidRDefault="00000000" w:rsidRPr="00000000" w14:paraId="0000006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Ce numéro figure sur la première page de l’avis rendu par le CESREES.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right"/>
      <w:rPr>
        <w:color w:val="000000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6664650</wp:posOffset>
          </wp:positionH>
          <wp:positionV relativeFrom="page">
            <wp:posOffset>38100</wp:posOffset>
          </wp:positionV>
          <wp:extent cx="972329" cy="891302"/>
          <wp:effectExtent b="0" l="0" r="0" t="0"/>
          <wp:wrapSquare wrapText="bothSides" distB="0" distT="0" distL="0" distR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972329" cy="8913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</wp:posOffset>
          </wp:positionH>
          <wp:positionV relativeFrom="paragraph">
            <wp:posOffset>-190477</wp:posOffset>
          </wp:positionV>
          <wp:extent cx="2071688" cy="439449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4394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line="259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6674175</wp:posOffset>
          </wp:positionH>
          <wp:positionV relativeFrom="page">
            <wp:posOffset>28575</wp:posOffset>
          </wp:positionV>
          <wp:extent cx="972329" cy="891302"/>
          <wp:effectExtent b="0" l="0" r="0" t="0"/>
          <wp:wrapSquare wrapText="bothSides" distB="0" distT="0" distL="0" distR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972329" cy="8913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-333365</wp:posOffset>
          </wp:positionH>
          <wp:positionV relativeFrom="paragraph">
            <wp:posOffset>-104765</wp:posOffset>
          </wp:positionV>
          <wp:extent cx="1604963" cy="339193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963" cy="3391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  <w:ind w:left="720" w:hanging="360"/>
      <w:jc w:val="both"/>
    </w:pPr>
    <w:rPr>
      <w:rFonts w:ascii="Tahoma" w:cs="Tahoma" w:eastAsia="Tahoma" w:hAnsi="Tahoma"/>
      <w:b w:val="1"/>
      <w:color w:val="036287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Tahoma" w:cs="Tahoma" w:eastAsia="Tahoma" w:hAnsi="Tahoma"/>
      <w:b w:val="1"/>
      <w:color w:val="036287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ind w:left="2160" w:hanging="360"/>
    </w:pPr>
    <w:rPr>
      <w:rFonts w:ascii="Tahoma" w:cs="Tahoma" w:eastAsia="Tahoma" w:hAnsi="Tahoma"/>
      <w:color w:val="03628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  <w:ind w:left="720" w:hanging="360"/>
      <w:jc w:val="both"/>
    </w:pPr>
    <w:rPr>
      <w:rFonts w:ascii="Tahoma" w:cs="Tahoma" w:eastAsia="Tahoma" w:hAnsi="Tahoma"/>
      <w:b w:val="1"/>
      <w:color w:val="036287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Tahoma" w:cs="Tahoma" w:eastAsia="Tahoma" w:hAnsi="Tahoma"/>
      <w:b w:val="1"/>
      <w:color w:val="036287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ind w:left="2160" w:hanging="360"/>
    </w:pPr>
    <w:rPr>
      <w:rFonts w:ascii="Tahoma" w:cs="Tahoma" w:eastAsia="Tahoma" w:hAnsi="Tahoma"/>
      <w:color w:val="03628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qSwUtsvbCFw3GFgJlUWWPgznsQ==">CgMxLjAyCGguZ2pkZ3hzMgloLjMwajB6bGwyCWguMWZvYjl0ZTIJaC4zem55c2g3OAByITFmX2YxRm9NY290UDlfeVZ0cDE3R0hJQ2U3RHg3UnNjXw==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