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/>
      </w:pPr>
      <w:bookmarkStart w:colFirst="0" w:colLast="0" w:name="_h1sj9hlqf9up" w:id="0"/>
      <w:bookmarkEnd w:id="0"/>
      <w:r w:rsidDel="00000000" w:rsidR="00000000" w:rsidRPr="00000000">
        <w:rPr>
          <w:rtl w:val="0"/>
        </w:rPr>
        <w:t xml:space="preserve">CHECKLIST PROTOCOLE À DESTINATION DES PORTEURS DE PROJETS (MR-008)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Subtitle"/>
        <w:spacing w:after="200" w:before="200" w:line="276" w:lineRule="auto"/>
        <w:rPr>
          <w:b w:val="0"/>
          <w:i w:val="1"/>
          <w:sz w:val="28"/>
          <w:szCs w:val="28"/>
        </w:rPr>
      </w:pPr>
      <w:bookmarkStart w:colFirst="0" w:colLast="0" w:name="_md4v76sk7xad" w:id="1"/>
      <w:bookmarkEnd w:id="1"/>
      <w:r w:rsidDel="00000000" w:rsidR="00000000" w:rsidRPr="00000000">
        <w:rPr>
          <w:rtl w:val="0"/>
        </w:rPr>
        <w:t xml:space="preserve">Les 24 éléments clés du protocole à destination des porteurs de projets dans le cadre d’une procédure simplifiée MR-008 de demande d’accès à la base principale du Système National des Données de Santé (SNDS)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Notice de complétion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Cette checklist doit obligatoirement être complétée par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le porteur de projet.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Elle doit être intégrée dans le dossier avant soumission au HDH.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Une seule case “non” suffit à ne pas valider la complétude du dossier.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ahoma" w:cs="Tahoma" w:eastAsia="Tahoma" w:hAnsi="Tahoma"/>
          <w:b w:val="1"/>
          <w:color w:val="036287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Nom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700.7874015748032" w:left="1440" w:right="1440" w:header="720" w:footer="1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Projet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1335"/>
        <w:gridCol w:w="1335"/>
        <w:tblGridChange w:id="0">
          <w:tblGrid>
            <w:gridCol w:w="6375"/>
            <w:gridCol w:w="1335"/>
            <w:gridCol w:w="1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0362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Général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OUI 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Consignes générales 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La structure, le format et le nombre de pages sont respectés et la taille de police utilisée est standard.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0362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Introduction, objectif et finalité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OUI 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responsable de traitement (RT), au sens du RGPD, est clairement identifié ainsi que le responsable de mise en œuvre (RMO) seul habilité à traiter les données. Le Délégué à la Protection des Données du RT est identifié.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laboratoire de recherche ou un bureau d’étude (LRBE) désigné en tant que RMO pour traiter les données de la base principale du SNDS, a réalisé un engagement de conformité à la MR-008 sur le </w:t>
            </w:r>
            <w:hyperlink r:id="rId1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20"/>
                  <w:szCs w:val="20"/>
                  <w:u w:val="single"/>
                  <w:rtl w:val="0"/>
                </w:rPr>
                <w:t xml:space="preserve">site</w:t>
              </w:r>
            </w:hyperlink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de la CNIL.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responsable de traitement, au sens du RGPD a réalisé un engagement de conformité à la MR-008 sur le </w:t>
            </w:r>
            <w:hyperlink r:id="rId11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20"/>
                  <w:szCs w:val="20"/>
                  <w:u w:val="single"/>
                  <w:rtl w:val="0"/>
                </w:rPr>
                <w:t xml:space="preserve">site </w:t>
              </w:r>
            </w:hyperlink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 la CNIL.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contexte et la justification du projet permettant de comprendre sa pertinence sont précisés.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Le(s) objectif(s) de l’étude, les critères d’évaluation associés et la nature du(es) bénéfice(s) sont déclinés.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Dans le cadre de la MR-008, la poursuite d’un intérêt légitime par le projet est justifiée conformément à l’article 6-1-f du RGPD.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L'intérêt public de l’étude est justifié : bénéfice pour la société, mise à disposition des résultats et leur diffusion la plus large, 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projet répond à l’une des 6 finalités suivantes applicables à la MR-008 :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Évaluation comparative de l’offre de soins ;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Évolution des pratiques de prise en charge ;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Analyses comparatives des activités de soins 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Description et analyse des pathologies et parcours de soins des patients ;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Études épidémiologiques et/ou médico-économiques dont les études pour la préparation des dossiers de discussions et réunions avec les autorités et comités compétents, ou les études à des fins de surveillance ;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Études de faisabilité dans le cadre d'une recherche impliquant ou n'impliquant pas la personne humaine.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Il est indiqué que la méthode, les résultats obtenus et les moyens d’en évaluer la validité seront transmis au HDH à la fin de l’étude.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0362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Méthodologie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OUI 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18"/>
                <w:szCs w:val="18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sources de données appartiennent exclusivement à la base principale du SNDS (SNIIRAM, PMSI de l’ATIH, CépiDc, CNSA, Vaccin-covid, SI-DEP).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variables nécessaires à l’étude sont précisées.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critères de ciblage de la population d'étude sont explicités.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Une estimation de la population d’étude est fournie.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 zone géographique est précisée.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grandes étapes du projet sont décrites dans un calendrier réaliste.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0362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Protection de la vie privée, sécurité et confidentialité des données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20"/>
                <w:szCs w:val="20"/>
                <w:rtl w:val="0"/>
              </w:rPr>
              <w:t xml:space="preserve">OUI 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ahoma" w:cs="Tahoma" w:eastAsia="Tahoma" w:hAnsi="Tahom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b7b7b7"/>
                <w:sz w:val="20"/>
                <w:szCs w:val="20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Dans le cadre de la MR-008, en principe, une information individuelle des personnes concernées doit être réalisée. Cependant, il est possible de faire valoir une exception à l’information individuelle. Dans ce cas, le responsable de traitement s’engage à diffuser une information collective auprès du public afin de les informer de la mise en œuvre de la recherche.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L'historique des données nécessaires pour l'étude est précisé en année (de telle année à telle année).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 profondeur des données ne dépasse pas neuf ans en plus de l’année en cours, sous réserve qu’elles soient diffusables par la CNAM.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données sont extraites par la CNAM.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Les données sont fournies exclusivement et directement par la CNAM (aucune réutilisation n’est possible).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0362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Autres conditions propres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Avez-vous bien précisé que le traitement sera réalisé sur le portail sécurisé de la CNAM ou sur un espace projet homologué expressément par la CNIL il y a moins de trois ans, dont l’homologation n’a pas expiré et exclusivement soumis aux lois de l’Union européenne ?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Avez-vous bien recours, pour la mise en œuvre de votre traitement, à un laboratoire de recherche ou bureau d’études (LRBE) ayant réalisé un engagement de conformité au référentiel déterminant les critères de confidentialité, d'expertise et d'indépendance, fixé par l'</w:t>
            </w:r>
            <w:hyperlink r:id="rId12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20"/>
                  <w:szCs w:val="20"/>
                  <w:u w:val="single"/>
                  <w:rtl w:val="0"/>
                </w:rPr>
                <w:t xml:space="preserve">arrêté du 17 juillet 2017</w:t>
              </w:r>
            </w:hyperlink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, ou êtes vous vous-même un LRBE ?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c6dbe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Avez-vous bien demandé l’accès pour une durée de 5 ans maximum ?</w:t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12" w:val="single"/>
              <w:left w:color="036287" w:space="0" w:sz="12" w:val="single"/>
              <w:bottom w:color="036287" w:space="0" w:sz="12" w:val="single"/>
              <w:right w:color="036287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line="240" w:lineRule="auto"/>
              <w:ind w:left="425.1968503937013" w:hanging="36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1"/>
        <w:keepLines w:val="1"/>
        <w:spacing w:after="60" w:before="60" w:line="240" w:lineRule="auto"/>
        <w:rPr>
          <w:rFonts w:ascii="Tahoma" w:cs="Tahoma" w:eastAsia="Tahoma" w:hAnsi="Tahoma"/>
          <w:color w:val="036287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Ind w:w="-115.0" w:type="dxa"/>
        <w:tblBorders>
          <w:top w:color="036287" w:space="0" w:sz="12" w:val="single"/>
          <w:left w:color="036287" w:space="0" w:sz="12" w:val="single"/>
          <w:bottom w:color="036287" w:space="0" w:sz="12" w:val="single"/>
          <w:right w:color="036287" w:space="0" w:sz="12" w:val="single"/>
          <w:insideH w:color="036287" w:space="0" w:sz="12" w:val="single"/>
          <w:insideV w:color="036287" w:space="0" w:sz="12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</w:tbl>
    <w:p w:rsidR="00000000" w:rsidDel="00000000" w:rsidP="00000000" w:rsidRDefault="00000000" w:rsidRPr="00000000" w14:paraId="0000007B">
      <w:pPr>
        <w:spacing w:line="240" w:lineRule="auto"/>
        <w:ind w:left="0" w:firstLine="0"/>
        <w:jc w:val="both"/>
        <w:rPr>
          <w:rFonts w:ascii="Tahoma" w:cs="Tahoma" w:eastAsia="Tahoma" w:hAnsi="Tahoma"/>
        </w:rPr>
        <w:sectPr>
          <w:type w:val="nextPage"/>
          <w:pgSz w:h="16834" w:w="11909" w:orient="portrait"/>
          <w:pgMar w:bottom="1417" w:top="1700" w:left="1417" w:right="1417" w:header="708.6614173228347" w:footer="510.2362204724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1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Checklist protocole à destination des porteurs de projets (MR-008)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6664650</wp:posOffset>
          </wp:positionH>
          <wp:positionV relativeFrom="page">
            <wp:posOffset>38100</wp:posOffset>
          </wp:positionV>
          <wp:extent cx="972329" cy="891302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</wp:posOffset>
          </wp:positionH>
          <wp:positionV relativeFrom="paragraph">
            <wp:posOffset>-190483</wp:posOffset>
          </wp:positionV>
          <wp:extent cx="2071688" cy="43944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line="259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6674175</wp:posOffset>
          </wp:positionH>
          <wp:positionV relativeFrom="page">
            <wp:posOffset>28575</wp:posOffset>
          </wp:positionV>
          <wp:extent cx="972329" cy="891302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-333372</wp:posOffset>
          </wp:positionH>
          <wp:positionV relativeFrom="paragraph">
            <wp:posOffset>-104772</wp:posOffset>
          </wp:positionV>
          <wp:extent cx="1604963" cy="339193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3391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nil.fr/fr/declarer-un-fichier" TargetMode="External"/><Relationship Id="rId10" Type="http://schemas.openxmlformats.org/officeDocument/2006/relationships/hyperlink" Target="https://www.cnil.fr/fr/declarer-un-fichier" TargetMode="External"/><Relationship Id="rId12" Type="http://schemas.openxmlformats.org/officeDocument/2006/relationships/hyperlink" Target="https://www.legifrance.gouv.fr/loda/id/JORFTEXT000035268202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